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F935A" w14:textId="77777777" w:rsidR="00957D69" w:rsidRDefault="00957D69">
      <w:pPr>
        <w:pStyle w:val="Corpodetexto"/>
        <w:spacing w:before="1"/>
        <w:ind w:left="0"/>
        <w:rPr>
          <w:sz w:val="8"/>
        </w:rPr>
      </w:pPr>
    </w:p>
    <w:p w14:paraId="0034AE7A" w14:textId="77777777" w:rsidR="00957D69" w:rsidRDefault="00D14AFB">
      <w:pPr>
        <w:pStyle w:val="Corpodetexto"/>
        <w:ind w:left="27" w:right="-29"/>
      </w:pPr>
      <w:r>
        <w:rPr>
          <w:noProof/>
        </w:rPr>
        <mc:AlternateContent>
          <mc:Choice Requires="wps">
            <w:drawing>
              <wp:inline distT="0" distB="0" distL="0" distR="0" wp14:anchorId="3A0EC9F9" wp14:editId="646735BD">
                <wp:extent cx="5895340" cy="741045"/>
                <wp:effectExtent l="9525" t="0" r="635" b="11429"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95340" cy="74104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04413C" w14:textId="77777777" w:rsidR="00957D69" w:rsidRDefault="00D14AFB">
                            <w:pPr>
                              <w:spacing w:before="159" w:line="242" w:lineRule="auto"/>
                              <w:ind w:left="15" w:right="14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1067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ADAPTAÇÃO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BIOMASSA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GRANULAR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ANAMMOX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PÓS- TRATAMENTO DE EFLUENTE ANAERÓBIO DE ESGOTO SANITÁRIO DOMÉSTICO É FACTÍVEL?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A0EC9F9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width:464.2pt;height:5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" filled="f" strokeweight=".72pt">
                <v:path arrowok="t"/>
                <v:textbox inset="0,0,0,0">
                  <w:txbxContent>
                    <w:p w14:paraId="2504413C" w14:textId="77777777" w:rsidR="00957D69" w:rsidRDefault="00D14AFB">
                      <w:pPr>
                        <w:spacing w:before="159" w:line="242" w:lineRule="auto"/>
                        <w:ind w:left="15" w:right="14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1067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ADAPTAÇÃO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BIOMASSA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GRANULAR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ANAMMOX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PARA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PÓS- TRATAMENTO DE EFLUENTE ANAERÓBIO DE ESGOTO SANITÁRIO DOMÉSTICO É FACTÍVEL?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163C71" w14:textId="77777777" w:rsidR="00957D69" w:rsidRDefault="00D14AFB">
      <w:pPr>
        <w:spacing w:before="207"/>
        <w:ind w:left="230"/>
        <w:jc w:val="both"/>
        <w:rPr>
          <w:b/>
          <w:sz w:val="20"/>
        </w:rPr>
      </w:pPr>
      <w:r>
        <w:rPr>
          <w:b/>
          <w:sz w:val="20"/>
        </w:rPr>
        <w:t>Guilherme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Lelis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Giglio</w:t>
      </w:r>
      <w:r>
        <w:rPr>
          <w:b/>
          <w:spacing w:val="-2"/>
          <w:sz w:val="20"/>
          <w:vertAlign w:val="superscript"/>
        </w:rPr>
        <w:t>(1)</w:t>
      </w:r>
    </w:p>
    <w:p w14:paraId="70195E6A" w14:textId="77777777" w:rsidR="00957D69" w:rsidRDefault="00D14AFB">
      <w:pPr>
        <w:pStyle w:val="Corpodetexto"/>
        <w:spacing w:before="2" w:line="237" w:lineRule="auto"/>
        <w:ind w:right="229"/>
        <w:jc w:val="both"/>
      </w:pPr>
      <w:r>
        <w:t>Engenheiro Ambiental (UNESP) e mestre em Hidráulica e Saneamento (USP). Foi consultor ambiental em</w:t>
      </w:r>
      <w:r>
        <w:rPr>
          <w:spacing w:val="40"/>
        </w:rPr>
        <w:t xml:space="preserve"> </w:t>
      </w:r>
      <w:r>
        <w:t>São José do Rio Pardo e professor universitário em Alfenas (UNIFENAS), Guaxupé (UNIFEG) e Ribeirão Preto (Estácio). Doutorando em Hidráulica e Saneamento (USP), com realização de doutorado sanduíche na Universidade de Tecnologia de Delft (TUD), Holanda.</w:t>
      </w:r>
    </w:p>
    <w:p w14:paraId="18480CE6" w14:textId="77777777" w:rsidR="00957D69" w:rsidRDefault="00D14AFB">
      <w:pPr>
        <w:spacing w:before="4"/>
        <w:ind w:left="230"/>
        <w:rPr>
          <w:b/>
          <w:sz w:val="20"/>
        </w:rPr>
      </w:pPr>
      <w:r>
        <w:rPr>
          <w:b/>
          <w:sz w:val="20"/>
        </w:rPr>
        <w:t>Alex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Marquiti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Alves</w:t>
      </w:r>
      <w:r>
        <w:rPr>
          <w:b/>
          <w:spacing w:val="-2"/>
          <w:sz w:val="20"/>
          <w:vertAlign w:val="superscript"/>
        </w:rPr>
        <w:t>(2)</w:t>
      </w:r>
    </w:p>
    <w:p w14:paraId="1F237F3D" w14:textId="77777777" w:rsidR="00957D69" w:rsidRDefault="00D14AFB">
      <w:pPr>
        <w:pStyle w:val="Corpodetexto"/>
      </w:pPr>
      <w:r>
        <w:t>Engenheiro</w:t>
      </w:r>
      <w:r>
        <w:rPr>
          <w:spacing w:val="32"/>
        </w:rPr>
        <w:t xml:space="preserve"> </w:t>
      </w:r>
      <w:r>
        <w:t>Químico</w:t>
      </w:r>
      <w:r>
        <w:rPr>
          <w:spacing w:val="32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mestre</w:t>
      </w:r>
      <w:r>
        <w:rPr>
          <w:spacing w:val="32"/>
        </w:rPr>
        <w:t xml:space="preserve"> </w:t>
      </w:r>
      <w:r>
        <w:t>em</w:t>
      </w:r>
      <w:r>
        <w:rPr>
          <w:spacing w:val="32"/>
        </w:rPr>
        <w:t xml:space="preserve"> </w:t>
      </w:r>
      <w:r>
        <w:t>Engenharia</w:t>
      </w:r>
      <w:r>
        <w:rPr>
          <w:spacing w:val="32"/>
        </w:rPr>
        <w:t xml:space="preserve"> </w:t>
      </w:r>
      <w:r>
        <w:t>Química</w:t>
      </w:r>
      <w:r>
        <w:rPr>
          <w:spacing w:val="32"/>
        </w:rPr>
        <w:t xml:space="preserve"> </w:t>
      </w:r>
      <w:r>
        <w:t>(UNIFAL).</w:t>
      </w:r>
      <w:r>
        <w:rPr>
          <w:spacing w:val="32"/>
        </w:rPr>
        <w:t xml:space="preserve"> </w:t>
      </w:r>
      <w:r>
        <w:t>Engenheiro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Segurança</w:t>
      </w:r>
      <w:r>
        <w:rPr>
          <w:spacing w:val="32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Trabalho (UFSJ). Doutorando em Hidráulica e Saneamento (USP) e professor universitário (UNIFEG).</w:t>
      </w:r>
    </w:p>
    <w:p w14:paraId="2FD51D07" w14:textId="77777777" w:rsidR="00957D69" w:rsidRDefault="00D14AFB">
      <w:pPr>
        <w:spacing w:before="1"/>
        <w:ind w:left="230"/>
        <w:rPr>
          <w:b/>
          <w:sz w:val="20"/>
        </w:rPr>
      </w:pPr>
      <w:r>
        <w:rPr>
          <w:b/>
          <w:sz w:val="20"/>
        </w:rPr>
        <w:t>Carolina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Tavares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Paula</w:t>
      </w:r>
      <w:r>
        <w:rPr>
          <w:b/>
          <w:spacing w:val="-2"/>
          <w:sz w:val="20"/>
          <w:vertAlign w:val="superscript"/>
        </w:rPr>
        <w:t>(3)</w:t>
      </w:r>
    </w:p>
    <w:p w14:paraId="1DC77587" w14:textId="77777777" w:rsidR="00957D69" w:rsidRDefault="00D14AFB">
      <w:pPr>
        <w:pStyle w:val="Corpodetexto"/>
        <w:spacing w:before="1"/>
        <w:ind w:right="77"/>
      </w:pPr>
      <w:r>
        <w:t>Engenheira</w:t>
      </w:r>
      <w:r>
        <w:rPr>
          <w:spacing w:val="40"/>
        </w:rPr>
        <w:t xml:space="preserve"> </w:t>
      </w:r>
      <w:r>
        <w:t>Civil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mestre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Engenharia</w:t>
      </w:r>
      <w:r>
        <w:rPr>
          <w:spacing w:val="40"/>
        </w:rPr>
        <w:t xml:space="preserve"> </w:t>
      </w:r>
      <w:r>
        <w:t>Sanitária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Ambiental</w:t>
      </w:r>
      <w:r>
        <w:rPr>
          <w:spacing w:val="40"/>
        </w:rPr>
        <w:t xml:space="preserve"> </w:t>
      </w:r>
      <w:r>
        <w:t>(UFRN).</w:t>
      </w:r>
      <w:r>
        <w:rPr>
          <w:spacing w:val="40"/>
        </w:rPr>
        <w:t xml:space="preserve"> </w:t>
      </w:r>
      <w:r>
        <w:t>Doutoranda</w:t>
      </w:r>
      <w:r>
        <w:rPr>
          <w:spacing w:val="40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Hidráulica</w:t>
      </w:r>
      <w:r>
        <w:rPr>
          <w:spacing w:val="40"/>
        </w:rPr>
        <w:t xml:space="preserve"> </w:t>
      </w:r>
      <w:r>
        <w:t>e Saneamento (USP).</w:t>
      </w:r>
    </w:p>
    <w:p w14:paraId="07F489AC" w14:textId="77777777" w:rsidR="00957D69" w:rsidRDefault="00D14AFB">
      <w:pPr>
        <w:spacing w:before="1"/>
        <w:ind w:left="230"/>
        <w:rPr>
          <w:b/>
          <w:sz w:val="20"/>
        </w:rPr>
      </w:pPr>
      <w:r>
        <w:rPr>
          <w:b/>
          <w:sz w:val="20"/>
        </w:rPr>
        <w:t>Tiago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Duarte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Santos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Pereira</w:t>
      </w:r>
      <w:r>
        <w:rPr>
          <w:b/>
          <w:spacing w:val="-2"/>
          <w:sz w:val="20"/>
          <w:vertAlign w:val="superscript"/>
        </w:rPr>
        <w:t>(4)</w:t>
      </w:r>
    </w:p>
    <w:p w14:paraId="4B5245DA" w14:textId="77777777" w:rsidR="00957D69" w:rsidRDefault="00D14AFB">
      <w:pPr>
        <w:pStyle w:val="Corpodetexto"/>
        <w:ind w:right="229"/>
        <w:jc w:val="both"/>
      </w:pPr>
      <w:r>
        <w:t>Engenheiro Ambiental (UFV), mestre e doutor em Hidráulica e Saneamento (USP). Realizou estágio pós- doutoral na Universidade Politécnica de Milão (POLIMI), Itália, e foi pesquisador visitante na Universidade Politécnica de Gdańsk (GUT), Polônia. Trabalhou como professor substituto (UFV) e professor adjunto (UNIP). Professor universitário e coordenador da pós-graduação em Meio Ambiente na Empresa de Pesquisa Agropecuária de Minas Gerais (EPAMIG)</w:t>
      </w:r>
      <w:r>
        <w:rPr>
          <w:spacing w:val="40"/>
        </w:rPr>
        <w:t xml:space="preserve"> </w:t>
      </w:r>
      <w:r>
        <w:t>- Instituto Tecnológico de Agropecuária de Pitangui (ITAP).</w:t>
      </w:r>
    </w:p>
    <w:p w14:paraId="2E4EA924" w14:textId="77777777" w:rsidR="00957D69" w:rsidRDefault="00D14AFB">
      <w:pPr>
        <w:spacing w:line="227" w:lineRule="exact"/>
        <w:ind w:left="230"/>
        <w:jc w:val="both"/>
        <w:rPr>
          <w:b/>
          <w:sz w:val="20"/>
        </w:rPr>
      </w:pPr>
      <w:r>
        <w:rPr>
          <w:b/>
          <w:sz w:val="20"/>
        </w:rPr>
        <w:t>Márcia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Helena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Rissato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Zamariolli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Damianovic</w:t>
      </w:r>
      <w:r>
        <w:rPr>
          <w:b/>
          <w:spacing w:val="-2"/>
          <w:sz w:val="20"/>
          <w:vertAlign w:val="superscript"/>
        </w:rPr>
        <w:t>(5)</w:t>
      </w:r>
    </w:p>
    <w:p w14:paraId="1ABBA7F7" w14:textId="77777777" w:rsidR="00957D69" w:rsidRDefault="00D14AFB">
      <w:pPr>
        <w:pStyle w:val="Corpodetexto"/>
        <w:ind w:right="229"/>
        <w:jc w:val="both"/>
      </w:pPr>
      <w:r>
        <w:t>Engenheira Civil, mestre, doutora e pós-doutora em Hidráulica e Saneamento (USP). Pós-doutora (UFSCar), estágio pós-doutoral na Universidade de Valladolid (UVa), Espanha, e estágio pós-doutoral na Universidade</w:t>
      </w:r>
      <w:r>
        <w:rPr>
          <w:spacing w:val="40"/>
        </w:rPr>
        <w:t xml:space="preserve"> </w:t>
      </w:r>
      <w:r>
        <w:t>de Vancouver, Canadá. Professora do departamento de Hidráulica e Saneamento da Escola de Engenharia de São Carlos da Universidade de São Paulo (EESC/USP).</w:t>
      </w:r>
    </w:p>
    <w:p w14:paraId="2C277910" w14:textId="77777777" w:rsidR="00957D69" w:rsidRDefault="00957D69">
      <w:pPr>
        <w:pStyle w:val="Corpodetexto"/>
        <w:spacing w:before="2"/>
        <w:ind w:left="0"/>
      </w:pPr>
    </w:p>
    <w:p w14:paraId="015C157C" w14:textId="77777777" w:rsidR="00957D69" w:rsidRDefault="00D14AFB">
      <w:pPr>
        <w:pStyle w:val="Corpodetexto"/>
        <w:spacing w:before="1"/>
        <w:ind w:right="77"/>
      </w:pPr>
      <w:r>
        <w:rPr>
          <w:b/>
        </w:rPr>
        <w:t>Endereço</w:t>
      </w:r>
      <w:r>
        <w:rPr>
          <w:b/>
          <w:vertAlign w:val="superscript"/>
        </w:rPr>
        <w:t>(1)</w:t>
      </w:r>
      <w:r>
        <w:rPr>
          <w:b/>
        </w:rPr>
        <w:t xml:space="preserve">: </w:t>
      </w:r>
      <w:r>
        <w:t>Avenida João Dagnone, 1100 Jardim - Santa Angelina - São Carlos - São Paulo - 13563-120 -</w:t>
      </w:r>
      <w:r>
        <w:rPr>
          <w:spacing w:val="80"/>
        </w:rPr>
        <w:t xml:space="preserve"> </w:t>
      </w:r>
      <w:r>
        <w:t xml:space="preserve">Brasil - Tel: +55 (16) 99168-8452 - Fax: +55 (16) 3373-9552 e-mail: </w:t>
      </w:r>
      <w:hyperlink r:id="rId7">
        <w:r>
          <w:rPr>
            <w:u w:val="single"/>
          </w:rPr>
          <w:t>glgiglio@usp.br</w:t>
        </w:r>
      </w:hyperlink>
    </w:p>
    <w:p w14:paraId="44B0F224" w14:textId="77777777" w:rsidR="00957D69" w:rsidRDefault="00D14AFB">
      <w:pPr>
        <w:pStyle w:val="Ttulo1"/>
        <w:spacing w:before="225"/>
      </w:pPr>
      <w:r>
        <w:rPr>
          <w:spacing w:val="-2"/>
        </w:rPr>
        <w:t>RESUMO</w:t>
      </w:r>
    </w:p>
    <w:p w14:paraId="53461C7B" w14:textId="77777777" w:rsidR="00957D69" w:rsidRDefault="00D14AFB">
      <w:pPr>
        <w:pStyle w:val="Corpodetexto"/>
        <w:spacing w:before="121"/>
        <w:ind w:right="227"/>
        <w:jc w:val="both"/>
      </w:pPr>
      <w:r>
        <w:t>A biomassa capaz de realizar a oxidação anaeróbia de amônia (</w:t>
      </w:r>
      <w:r>
        <w:rPr>
          <w:i/>
        </w:rPr>
        <w:t>anaerobic ammonium oxidation</w:t>
      </w:r>
      <w:r>
        <w:t xml:space="preserve">, Anammox) pode ser encontrada em estações de tratamento de águas residuárias que aplicam o processo Anammox para tratar efluentes com elevado teor de nitrogênio (100~2000 mgN/L), como, por exemplo, nos biodigestores de </w:t>
      </w:r>
      <w:r>
        <w:rPr>
          <w:position w:val="1"/>
        </w:rPr>
        <w:t>lodo de esgoto operados em temperaturas mesofílicas (25~40°C). Três reatores de escala de bancada (R</w:t>
      </w:r>
      <w:r>
        <w:rPr>
          <w:sz w:val="13"/>
        </w:rPr>
        <w:t>1</w:t>
      </w:r>
      <w:r>
        <w:rPr>
          <w:position w:val="1"/>
        </w:rPr>
        <w:t>, R</w:t>
      </w:r>
      <w:r>
        <w:rPr>
          <w:sz w:val="13"/>
        </w:rPr>
        <w:t>2</w:t>
      </w:r>
      <w:r>
        <w:rPr>
          <w:spacing w:val="22"/>
          <w:sz w:val="13"/>
        </w:rPr>
        <w:t xml:space="preserve"> </w:t>
      </w:r>
      <w:r>
        <w:rPr>
          <w:position w:val="1"/>
        </w:rPr>
        <w:t>e R</w:t>
      </w:r>
      <w:r>
        <w:rPr>
          <w:sz w:val="13"/>
        </w:rPr>
        <w:t>3</w:t>
      </w:r>
      <w:r>
        <w:rPr>
          <w:position w:val="1"/>
        </w:rPr>
        <w:t>)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foram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utilizados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neste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estudo.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Parte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biomassa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granular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anammox,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enriquecida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por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685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dias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no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reator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</w:t>
      </w:r>
      <w:r>
        <w:rPr>
          <w:sz w:val="13"/>
        </w:rPr>
        <w:t>1</w:t>
      </w:r>
      <w:r>
        <w:rPr>
          <w:position w:val="1"/>
        </w:rPr>
        <w:t>, foi adaptada no reator R</w:t>
      </w:r>
      <w:r>
        <w:rPr>
          <w:sz w:val="13"/>
        </w:rPr>
        <w:t>2</w:t>
      </w:r>
      <w:r>
        <w:rPr>
          <w:spacing w:val="19"/>
          <w:sz w:val="13"/>
        </w:rPr>
        <w:t xml:space="preserve"> </w:t>
      </w:r>
      <w:r>
        <w:rPr>
          <w:position w:val="1"/>
        </w:rPr>
        <w:t xml:space="preserve">para tratar efluentes anaeróbios de esgoto doméstico contendo baixa concentração de </w:t>
      </w:r>
      <w:r>
        <w:t>nitrogênio sob temperaturas amenas. A manutenção da carga nitrogenada volumétrica aplicada (CNVA) foi a estratégia adotada nesta adaptação. Em 34 dias, a concentração de nitrogênio foi gradativamente reduzida de 232 para 50 mgN/L, e subsequentemente, em 31 dias, realizou-se a redução da temperatura de 37 para 30 e 25°C. Neste período (65 dias), a biomassa granular anammox apresentou elevada eficiência de remoção de nitrogênio total (ERN), sendo de 87,3 ± 4,7% para CNVA superior a 1,0 kgN/m</w:t>
      </w:r>
      <w:r>
        <w:rPr>
          <w:vertAlign w:val="superscript"/>
        </w:rPr>
        <w:t>3</w:t>
      </w:r>
      <w:r>
        <w:t xml:space="preserve">.d. Para a condução do </w:t>
      </w:r>
      <w:r>
        <w:rPr>
          <w:position w:val="1"/>
        </w:rPr>
        <w:t>processo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Anammox,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nos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reatores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</w:t>
      </w:r>
      <w:r>
        <w:rPr>
          <w:sz w:val="13"/>
        </w:rPr>
        <w:t>1</w:t>
      </w:r>
      <w:r>
        <w:rPr>
          <w:spacing w:val="16"/>
          <w:sz w:val="13"/>
        </w:rPr>
        <w:t xml:space="preserve"> </w:t>
      </w:r>
      <w:r>
        <w:rPr>
          <w:position w:val="1"/>
        </w:rPr>
        <w:t>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</w:t>
      </w:r>
      <w:r>
        <w:rPr>
          <w:sz w:val="13"/>
        </w:rPr>
        <w:t>2</w:t>
      </w:r>
      <w:r>
        <w:rPr>
          <w:position w:val="1"/>
        </w:rPr>
        <w:t>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alimentação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foi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feita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com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efluente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sintético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conforme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van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Graaf (1996) contendo razão de nitrito/amônio 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>) de 1,32 e sem adição de matéria orgânica. No reator R</w:t>
      </w:r>
      <w:r>
        <w:rPr>
          <w:sz w:val="13"/>
        </w:rPr>
        <w:t>3</w:t>
      </w:r>
      <w:r>
        <w:rPr>
          <w:position w:val="1"/>
        </w:rPr>
        <w:t xml:space="preserve">, </w:t>
      </w:r>
      <w:r>
        <w:t>ainda sob ausência de matéria orgânica, deixou-se de suplementar nitrito para que fosse produzido a partir da aeração intermitente automatizada (AIA), para condução do processo nitritação parcial-anammox (PNA). Entretanto, ao realizar a AIA, a biomassa granular anammox adaptada não desempenhou o processo PNA.</w:t>
      </w:r>
    </w:p>
    <w:p w14:paraId="43BF71FA" w14:textId="77777777" w:rsidR="00957D69" w:rsidRDefault="00D14AFB">
      <w:pPr>
        <w:spacing w:before="227"/>
        <w:ind w:left="230" w:right="229"/>
        <w:jc w:val="both"/>
        <w:rPr>
          <w:sz w:val="20"/>
        </w:rPr>
      </w:pPr>
      <w:r>
        <w:rPr>
          <w:rFonts w:ascii="Arial" w:hAnsi="Arial"/>
          <w:b/>
          <w:sz w:val="20"/>
        </w:rPr>
        <w:t xml:space="preserve">PALAVRAS-CHAVE: </w:t>
      </w:r>
      <w:r>
        <w:rPr>
          <w:i/>
          <w:sz w:val="20"/>
        </w:rPr>
        <w:t xml:space="preserve">Mainstream </w:t>
      </w:r>
      <w:r>
        <w:rPr>
          <w:sz w:val="20"/>
        </w:rPr>
        <w:t xml:space="preserve">Anammox, carga nitrogenada elevada, remoção de nitrogênio, biomassa </w:t>
      </w:r>
      <w:r>
        <w:rPr>
          <w:spacing w:val="-2"/>
          <w:sz w:val="20"/>
        </w:rPr>
        <w:t>granular.</w:t>
      </w:r>
    </w:p>
    <w:p w14:paraId="22844EC0" w14:textId="77777777" w:rsidR="00957D69" w:rsidRDefault="00957D69">
      <w:pPr>
        <w:jc w:val="both"/>
        <w:rPr>
          <w:sz w:val="20"/>
        </w:rPr>
        <w:sectPr w:rsidR="00957D6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2000" w:right="1275" w:bottom="1000" w:left="1275" w:header="455" w:footer="807" w:gutter="0"/>
          <w:pgNumType w:start="1"/>
          <w:cols w:space="720"/>
        </w:sectPr>
      </w:pPr>
    </w:p>
    <w:p w14:paraId="48CDE7CD" w14:textId="77777777" w:rsidR="00957D69" w:rsidRDefault="00D14AFB">
      <w:pPr>
        <w:pStyle w:val="Ttulo1"/>
        <w:spacing w:before="141"/>
      </w:pPr>
      <w:r>
        <w:rPr>
          <w:spacing w:val="-2"/>
        </w:rPr>
        <w:lastRenderedPageBreak/>
        <w:t>INTRODUÇÃO</w:t>
      </w:r>
    </w:p>
    <w:p w14:paraId="1E428B53" w14:textId="6F87BF5A" w:rsidR="00957D69" w:rsidRDefault="00D14AFB">
      <w:pPr>
        <w:pStyle w:val="Corpodetexto"/>
        <w:spacing w:before="122"/>
        <w:ind w:right="229"/>
        <w:jc w:val="both"/>
      </w:pPr>
      <w:r>
        <w:t>O aporte excessivo de nitrogênio (N) tem reduzido a qualidade dos corpos hídricos disponíveis para usos domésticos, industriais, agrícolas e recreativos (CAREY</w:t>
      </w:r>
      <w:r w:rsidR="00145C1C">
        <w:t xml:space="preserve"> e </w:t>
      </w:r>
      <w:r>
        <w:t xml:space="preserve">MIGLIACCIO, 2009). Há mais de 100 anos, o processo conhecido como nitrificação-desnitrificação tem sido utilizado para a remoção biológica de N de águas residuárias (ARDERN </w:t>
      </w:r>
      <w:r w:rsidR="00145C1C">
        <w:t xml:space="preserve">e </w:t>
      </w:r>
      <w:r>
        <w:t>LOCKETT, 1914), mas, recentemente, este processo tem sido considerado insustentável (CHEN et al., 2019). A aeração, requerida na etapa de nitrificação, demanda, em média, 22% do consumo da energia de estações de tratamento de esgoto (ETE) (WAN et al., 2016). Em ETEs dos Estados Unidos,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exemplo,</w:t>
      </w:r>
      <w:r>
        <w:rPr>
          <w:spacing w:val="-1"/>
        </w:rPr>
        <w:t xml:space="preserve"> </w:t>
      </w:r>
      <w:r>
        <w:t>cerca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3%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energia</w:t>
      </w:r>
      <w:r>
        <w:rPr>
          <w:spacing w:val="-2"/>
        </w:rPr>
        <w:t xml:space="preserve"> </w:t>
      </w:r>
      <w:r>
        <w:t>elétrica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país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consumida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ETEs</w:t>
      </w:r>
      <w:r>
        <w:rPr>
          <w:spacing w:val="-2"/>
        </w:rPr>
        <w:t xml:space="preserve"> </w:t>
      </w:r>
      <w:r>
        <w:t>americanas,</w:t>
      </w:r>
      <w:r>
        <w:rPr>
          <w:spacing w:val="-1"/>
        </w:rPr>
        <w:t xml:space="preserve"> </w:t>
      </w:r>
      <w:r>
        <w:t>onde</w:t>
      </w:r>
      <w:r>
        <w:rPr>
          <w:spacing w:val="-2"/>
        </w:rPr>
        <w:t xml:space="preserve"> </w:t>
      </w:r>
      <w:r>
        <w:t xml:space="preserve">a aeração contribui significativamente para este consumo </w:t>
      </w:r>
      <w:r w:rsidRPr="00A27280">
        <w:rPr>
          <w:highlight w:val="yellow"/>
        </w:rPr>
        <w:t>(</w:t>
      </w:r>
      <w:r w:rsidR="00015C75" w:rsidRPr="00A27280">
        <w:rPr>
          <w:highlight w:val="yellow"/>
        </w:rPr>
        <w:t xml:space="preserve">GAO, SCHERSON e WELLS, </w:t>
      </w:r>
      <w:r w:rsidRPr="00A27280">
        <w:rPr>
          <w:highlight w:val="yellow"/>
        </w:rPr>
        <w:t>2014).</w:t>
      </w:r>
      <w:r>
        <w:t xml:space="preserve"> Na etapa de desnitrificação, a adição externa de carbono representa outro aspecto negativo. Para desnitrificar 1,00 kg de nitrato são necessários 3,51 kg acetato (3,74 kg DQO) (MATĚJŮ</w:t>
      </w:r>
      <w:r>
        <w:rPr>
          <w:spacing w:val="-1"/>
        </w:rPr>
        <w:t xml:space="preserve"> </w:t>
      </w:r>
      <w:r>
        <w:t>et al., 1992) ou 1,90 a 3,30 kg de metanol (PENG</w:t>
      </w:r>
      <w:r>
        <w:rPr>
          <w:spacing w:val="-1"/>
        </w:rPr>
        <w:t xml:space="preserve"> </w:t>
      </w:r>
      <w:r>
        <w:t xml:space="preserve">et al., 2007). Além disso, devido à elevada taxa de crescimento dos microrganismos nitrificantes e desnitrificantes heterotróficos, o excesso de lodo produzido requer destino e tratamento adequado, aumentando o investimento monetário </w:t>
      </w:r>
      <w:r w:rsidRPr="000C2921">
        <w:rPr>
          <w:highlight w:val="yellow"/>
        </w:rPr>
        <w:t>(</w:t>
      </w:r>
      <w:r w:rsidR="00A27280" w:rsidRPr="000C2921">
        <w:rPr>
          <w:highlight w:val="yellow"/>
        </w:rPr>
        <w:t xml:space="preserve">MCCARTY, BAE </w:t>
      </w:r>
      <w:r w:rsidR="000C2921" w:rsidRPr="000C2921">
        <w:rPr>
          <w:highlight w:val="yellow"/>
        </w:rPr>
        <w:t xml:space="preserve">e </w:t>
      </w:r>
      <w:r w:rsidR="00A27280" w:rsidRPr="000C2921">
        <w:rPr>
          <w:highlight w:val="yellow"/>
        </w:rPr>
        <w:t xml:space="preserve">KIM, </w:t>
      </w:r>
      <w:r w:rsidRPr="000C2921">
        <w:rPr>
          <w:highlight w:val="yellow"/>
        </w:rPr>
        <w:t>2011).</w:t>
      </w:r>
    </w:p>
    <w:p w14:paraId="79E7BF8C" w14:textId="77777777" w:rsidR="00957D69" w:rsidRDefault="00957D69">
      <w:pPr>
        <w:pStyle w:val="Corpodetexto"/>
        <w:ind w:left="0"/>
      </w:pPr>
    </w:p>
    <w:p w14:paraId="4AAC5A3D" w14:textId="4829446F" w:rsidR="00957D69" w:rsidRDefault="00D14AFB" w:rsidP="00907331">
      <w:pPr>
        <w:pStyle w:val="Corpodetexto"/>
        <w:ind w:left="232" w:right="229"/>
        <w:jc w:val="both"/>
      </w:pPr>
      <w:r>
        <w:t>Descoberta em 1995 (MULDER et al., 1995), a oxidação anaeróbia de amônia (Anammox) caracteriza-se por ser um processo sustentável, potencialmente capaz de equilibrar os custos dispendiosos de energia elétrica, intrínsecos</w:t>
      </w:r>
      <w:r>
        <w:rPr>
          <w:spacing w:val="-1"/>
        </w:rPr>
        <w:t xml:space="preserve"> </w:t>
      </w:r>
      <w:r>
        <w:t>às</w:t>
      </w:r>
      <w:r>
        <w:rPr>
          <w:spacing w:val="-1"/>
        </w:rPr>
        <w:t xml:space="preserve"> </w:t>
      </w:r>
      <w:r>
        <w:t>ETEs (</w:t>
      </w:r>
      <w:r w:rsidR="000C2921" w:rsidRPr="000C2921">
        <w:rPr>
          <w:highlight w:val="yellow"/>
        </w:rPr>
        <w:t xml:space="preserve">CAO, VAN LOOSDRECHT e DAIGGER, </w:t>
      </w:r>
      <w:r w:rsidRPr="000C2921">
        <w:rPr>
          <w:highlight w:val="yellow"/>
        </w:rPr>
        <w:t>2017</w:t>
      </w:r>
      <w:r>
        <w:t>). As</w:t>
      </w:r>
      <w:r>
        <w:rPr>
          <w:spacing w:val="-1"/>
        </w:rPr>
        <w:t xml:space="preserve"> </w:t>
      </w:r>
      <w:r>
        <w:t>vantagens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processo</w:t>
      </w:r>
      <w:r>
        <w:rPr>
          <w:spacing w:val="-2"/>
        </w:rPr>
        <w:t xml:space="preserve"> </w:t>
      </w:r>
      <w:r>
        <w:t>Anammox</w:t>
      </w:r>
      <w:r>
        <w:rPr>
          <w:spacing w:val="-1"/>
        </w:rPr>
        <w:t xml:space="preserve"> </w:t>
      </w:r>
      <w:r>
        <w:t>sob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nitrificação-desnitrificação são notáveis, podendo-se destacar as reduções de 63% na aeração, visto que a nitrificação não precisa ocorrer completamente, 100% no consumo de carbono orgânico (CO), por se tratar de um processo autotrófico, e 90% na produção de lodo (</w:t>
      </w:r>
      <w:r w:rsidR="000C2921" w:rsidRPr="000C2921">
        <w:rPr>
          <w:highlight w:val="yellow"/>
        </w:rPr>
        <w:t>CAO, VAN LOOSDRECHT e DAIGGER, 2017</w:t>
      </w:r>
      <w:r>
        <w:t>), devido ao crescimento mais lento das bactérias anammox em relação aos microrganismos nitrificantes (LAURENI et al., 2019).</w:t>
      </w:r>
    </w:p>
    <w:p w14:paraId="554C731B" w14:textId="77777777" w:rsidR="0030719B" w:rsidRDefault="0030719B" w:rsidP="00907331">
      <w:pPr>
        <w:pStyle w:val="Corpodetexto"/>
        <w:ind w:left="232" w:right="229"/>
        <w:jc w:val="both"/>
      </w:pPr>
    </w:p>
    <w:p w14:paraId="510EC414" w14:textId="73AAA163" w:rsidR="00957D69" w:rsidRDefault="00D14AFB" w:rsidP="00907331">
      <w:pPr>
        <w:pStyle w:val="Corpodetexto"/>
        <w:ind w:left="232" w:right="229"/>
        <w:jc w:val="both"/>
      </w:pPr>
      <w:r>
        <w:t xml:space="preserve">Em escala plena, a estabilidade do processo Anammox está atrelada a outros bioprocessos. Na ausência de </w:t>
      </w:r>
      <w:r>
        <w:rPr>
          <w:position w:val="1"/>
        </w:rPr>
        <w:t>oxigênio dissolvido (OD), as bactérias anammox (AMX) consomem concomitantemente amônio (NH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>) e nitrito 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), e produzem nitrato (NO</w:t>
      </w:r>
      <w:r>
        <w:rPr>
          <w:sz w:val="13"/>
        </w:rPr>
        <w:t>3</w:t>
      </w:r>
      <w:r>
        <w:rPr>
          <w:position w:val="8"/>
          <w:sz w:val="13"/>
        </w:rPr>
        <w:t>-</w:t>
      </w:r>
      <w:r>
        <w:rPr>
          <w:position w:val="1"/>
        </w:rPr>
        <w:t>) e dinitrogênio (N</w:t>
      </w:r>
      <w:r>
        <w:rPr>
          <w:sz w:val="13"/>
        </w:rPr>
        <w:t>2</w:t>
      </w:r>
      <w:r>
        <w:rPr>
          <w:position w:val="1"/>
        </w:rPr>
        <w:t>) (STROUS et al., 1998). Como 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21"/>
          <w:position w:val="8"/>
          <w:sz w:val="13"/>
        </w:rPr>
        <w:t xml:space="preserve"> </w:t>
      </w:r>
      <w:r>
        <w:rPr>
          <w:position w:val="1"/>
        </w:rPr>
        <w:t>corresponde à fração nitrogenada predominante em águas residuárias e esgotos domésticos, a formação de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>é imprescindível às AMX. Além disso, é preciso que haja equilíbrio entre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29"/>
          <w:position w:val="8"/>
          <w:sz w:val="13"/>
        </w:rPr>
        <w:t xml:space="preserve"> </w:t>
      </w:r>
      <w:r>
        <w:rPr>
          <w:position w:val="1"/>
        </w:rPr>
        <w:t xml:space="preserve">de 1,32 (STROUS et al., </w:t>
      </w:r>
      <w:r>
        <w:t>1998).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produção</w:t>
      </w:r>
      <w:r>
        <w:rPr>
          <w:spacing w:val="-3"/>
        </w:rPr>
        <w:t xml:space="preserve"> </w:t>
      </w:r>
      <w:r>
        <w:t>equilibrada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nitrito/amônio</w:t>
      </w:r>
      <w:r>
        <w:rPr>
          <w:spacing w:val="-3"/>
        </w:rPr>
        <w:t xml:space="preserve"> </w:t>
      </w:r>
      <w:r>
        <w:t>pode</w:t>
      </w:r>
      <w:r>
        <w:rPr>
          <w:spacing w:val="-3"/>
        </w:rPr>
        <w:t xml:space="preserve"> </w:t>
      </w:r>
      <w:r>
        <w:t>ocorrer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nitritação</w:t>
      </w:r>
      <w:r>
        <w:rPr>
          <w:spacing w:val="-3"/>
        </w:rPr>
        <w:t xml:space="preserve"> </w:t>
      </w:r>
      <w:r>
        <w:t>parcial</w:t>
      </w:r>
      <w:r>
        <w:rPr>
          <w:spacing w:val="-3"/>
        </w:rPr>
        <w:t xml:space="preserve"> </w:t>
      </w:r>
      <w:r>
        <w:t>(</w:t>
      </w:r>
      <w:r>
        <w:rPr>
          <w:i/>
        </w:rPr>
        <w:t>partial</w:t>
      </w:r>
      <w:r>
        <w:rPr>
          <w:i/>
          <w:spacing w:val="-3"/>
        </w:rPr>
        <w:t xml:space="preserve"> </w:t>
      </w:r>
      <w:r>
        <w:rPr>
          <w:i/>
        </w:rPr>
        <w:t>nitritation</w:t>
      </w:r>
      <w:r>
        <w:t>,</w:t>
      </w:r>
      <w:r>
        <w:rPr>
          <w:spacing w:val="-3"/>
        </w:rPr>
        <w:t xml:space="preserve"> </w:t>
      </w:r>
      <w:r>
        <w:t>PN),</w:t>
      </w:r>
      <w:r>
        <w:rPr>
          <w:spacing w:val="-3"/>
        </w:rPr>
        <w:t xml:space="preserve"> </w:t>
      </w:r>
      <w:r>
        <w:t xml:space="preserve">no </w:t>
      </w:r>
      <w:r>
        <w:rPr>
          <w:position w:val="1"/>
        </w:rPr>
        <w:t>qual as bactérias oxidadoras de amônia (BOA), em meio aeróbio, oxidam 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>à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. As bactérias oxidadoras de nitrito (BON), entretanto, podem oxidar nitrito 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) a nitrato (NO</w:t>
      </w:r>
      <w:r>
        <w:rPr>
          <w:sz w:val="13"/>
        </w:rPr>
        <w:t>3</w:t>
      </w:r>
      <w:r>
        <w:rPr>
          <w:position w:val="8"/>
          <w:sz w:val="13"/>
        </w:rPr>
        <w:t>-</w:t>
      </w:r>
      <w:r>
        <w:rPr>
          <w:position w:val="1"/>
        </w:rPr>
        <w:t>) na presença de OD,</w:t>
      </w:r>
      <w:r>
        <w:rPr>
          <w:spacing w:val="80"/>
          <w:position w:val="1"/>
        </w:rPr>
        <w:t xml:space="preserve"> </w:t>
      </w:r>
      <w:r>
        <w:t>assim a nitrificação completa da amônia passa a predominar (NH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 </w:t>
      </w:r>
      <w:r>
        <w:rPr>
          <w:noProof/>
          <w:spacing w:val="8"/>
          <w:position w:val="-1"/>
        </w:rPr>
        <w:drawing>
          <wp:inline distT="0" distB="0" distL="0" distR="0" wp14:anchorId="66857D28" wp14:editId="2A1F5E25">
            <wp:extent cx="174625" cy="17462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</w:rPr>
        <w:t xml:space="preserve"> </w:t>
      </w:r>
      <w:r>
        <w:t>NO</w:t>
      </w:r>
      <w:r>
        <w:rPr>
          <w:vertAlign w:val="subscript"/>
        </w:rPr>
        <w:t>2</w:t>
      </w:r>
      <w:r>
        <w:rPr>
          <w:vertAlign w:val="superscript"/>
        </w:rPr>
        <w:t>-</w:t>
      </w:r>
      <w:r>
        <w:t xml:space="preserve"> </w:t>
      </w:r>
      <w:r>
        <w:rPr>
          <w:noProof/>
          <w:spacing w:val="24"/>
          <w:position w:val="-1"/>
        </w:rPr>
        <w:drawing>
          <wp:inline distT="0" distB="0" distL="0" distR="0" wp14:anchorId="106B7987" wp14:editId="0621D97B">
            <wp:extent cx="174625" cy="17462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t>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t xml:space="preserve">), desestabilizando o </w:t>
      </w:r>
      <w:r>
        <w:rPr>
          <w:position w:val="1"/>
        </w:rPr>
        <w:t>processo PN, e consequentemente, desequilibrando a relação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 xml:space="preserve">necessária às AMX. Portanto, a </w:t>
      </w:r>
      <w:r>
        <w:t>remoção de nitrogênio, neste caso, depende da estabilidade do processo nitritação parcial-anammox (</w:t>
      </w:r>
      <w:r>
        <w:rPr>
          <w:i/>
        </w:rPr>
        <w:t>partial nitritation-anammox</w:t>
      </w:r>
      <w:r>
        <w:t>, PNA) (</w:t>
      </w:r>
      <w:r w:rsidR="00435938" w:rsidRPr="000C2921">
        <w:rPr>
          <w:highlight w:val="yellow"/>
        </w:rPr>
        <w:t>CAO, VAN LOOSDRECHT e DAIGGER</w:t>
      </w:r>
      <w:r>
        <w:t>, 2017). O controle da aeração e/ou da concentração de OD têm sido reportados como ferramentas importantes para a obtenção da estabilidade do processo PNA</w:t>
      </w:r>
      <w:r>
        <w:rPr>
          <w:spacing w:val="-2"/>
        </w:rPr>
        <w:t xml:space="preserve"> </w:t>
      </w:r>
      <w:r>
        <w:t>(</w:t>
      </w:r>
      <w:r w:rsidR="00B63E78" w:rsidRPr="000C2921">
        <w:rPr>
          <w:highlight w:val="yellow"/>
        </w:rPr>
        <w:t>CAO, VAN LOOSDRECHT e DAIGGER, 2017</w:t>
      </w:r>
      <w:r>
        <w:t>; HOEKSTRA, 2017; LACKNER et al., 2014; QIU et al., 2021). Compreender as diferentes condições de operação do processo Anammox, como a concentração de OD e estabilidade no processo de PN, é importante para identificar as melhores estratégias de remoção de nitrogênio em estações de tratamento de águas residuais e difundir a aplicação do processo anammox nas ETEs.</w:t>
      </w:r>
    </w:p>
    <w:p w14:paraId="6F655CE1" w14:textId="77777777" w:rsidR="00094F2E" w:rsidRDefault="00094F2E" w:rsidP="00907331">
      <w:pPr>
        <w:pStyle w:val="Corpodetexto"/>
        <w:ind w:left="232" w:right="229"/>
        <w:jc w:val="both"/>
      </w:pPr>
    </w:p>
    <w:p w14:paraId="3E851F03" w14:textId="036F8788" w:rsidR="00957D69" w:rsidRDefault="00D14AFB" w:rsidP="00907331">
      <w:pPr>
        <w:pStyle w:val="Corpodetexto"/>
        <w:ind w:left="232" w:right="227"/>
        <w:jc w:val="both"/>
      </w:pPr>
      <w:r>
        <w:t xml:space="preserve">Nos últimos anos, mais de 100 ETEs têm empregado, com sucesso, o processo anammox (LACKNER et al., </w:t>
      </w:r>
      <w:r>
        <w:rPr>
          <w:position w:val="1"/>
        </w:rPr>
        <w:t>2014). Nestas estações, os reatores anammox recebem efluentes ricos em N (~ 5.000 mg.N-NH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 xml:space="preserve">/L, </w:t>
      </w:r>
      <w:r>
        <w:t>YAMAMOTO et al., 2008), pobres em carbono orgânico (CO/N ~ 0,5, JENNI et al., 2014), e com temperaturas (T) que se aproximam de 37°C, ótima às bactérias anammox (ALI</w:t>
      </w:r>
      <w:r w:rsidR="003B7777">
        <w:t xml:space="preserve"> e </w:t>
      </w:r>
      <w:r>
        <w:t xml:space="preserve">OKABE, 2015). Estas características estão presentes em fluxos laterais de ETEs e favoreceram o sucesso do processo denominado </w:t>
      </w:r>
      <w:r>
        <w:rPr>
          <w:i/>
        </w:rPr>
        <w:t>sidestream</w:t>
      </w:r>
      <w:r>
        <w:rPr>
          <w:i/>
          <w:spacing w:val="-3"/>
        </w:rPr>
        <w:t xml:space="preserve"> </w:t>
      </w:r>
      <w:r>
        <w:t>anammox (</w:t>
      </w:r>
      <w:r w:rsidR="003B7777" w:rsidRPr="000C2921">
        <w:rPr>
          <w:highlight w:val="yellow"/>
        </w:rPr>
        <w:t>CAO, VAN LOOSDRECHT e DAIGGER, 2017</w:t>
      </w:r>
      <w:r>
        <w:t>). Por outro lado, a aplicação do processo anammox no fluxo principal (</w:t>
      </w:r>
      <w:r>
        <w:rPr>
          <w:i/>
        </w:rPr>
        <w:t>mainstream</w:t>
      </w:r>
      <w:r>
        <w:t>), ainda apresenta desafios, uma vez que tais características oscilam (</w:t>
      </w:r>
      <w:r w:rsidR="003B7777" w:rsidRPr="000C2921">
        <w:rPr>
          <w:highlight w:val="yellow"/>
        </w:rPr>
        <w:t>CAO, VAN LOOSDRECHT e DAIGGER, 2017</w:t>
      </w:r>
      <w:r>
        <w:t>). No entanto, efluentes gerados da operação de reatores anaeróbios de manta de lodo e fluxo ascendente (</w:t>
      </w:r>
      <w:r>
        <w:rPr>
          <w:i/>
        </w:rPr>
        <w:t>up-flow anaerobic sludge blanket</w:t>
      </w:r>
      <w:r>
        <w:t>, UASB), comumente utilizados em países de clima quente, como Brasil, Colômbia e Índia, apresentam reduzida relação CO/N, T mediana, pH neutro e poucos sólidos, características importantes para o desenvolvimento do processo Anammox (</w:t>
      </w:r>
      <w:r w:rsidRPr="00176881">
        <w:rPr>
          <w:highlight w:val="yellow"/>
        </w:rPr>
        <w:t>VON SPERLING</w:t>
      </w:r>
      <w:r w:rsidR="00176881" w:rsidRPr="00176881">
        <w:rPr>
          <w:highlight w:val="yellow"/>
        </w:rPr>
        <w:t xml:space="preserve"> </w:t>
      </w:r>
      <w:r w:rsidRPr="00176881">
        <w:rPr>
          <w:highlight w:val="yellow"/>
        </w:rPr>
        <w:t xml:space="preserve">; </w:t>
      </w:r>
      <w:r w:rsidR="00176881" w:rsidRPr="00176881">
        <w:rPr>
          <w:highlight w:val="yellow"/>
        </w:rPr>
        <w:t xml:space="preserve">e </w:t>
      </w:r>
      <w:r w:rsidRPr="00176881">
        <w:rPr>
          <w:highlight w:val="yellow"/>
        </w:rPr>
        <w:t>CHERNICHARO, 2005</w:t>
      </w:r>
      <w:r>
        <w:t xml:space="preserve">). Assim, reatores </w:t>
      </w:r>
      <w:r>
        <w:rPr>
          <w:i/>
        </w:rPr>
        <w:t xml:space="preserve">mainstream </w:t>
      </w:r>
      <w:r>
        <w:t xml:space="preserve">UASB-Anammox podem ser uma alternativa sustentável na remoção de nitrogênio. Na ETE austríaca Strass, a transferência de biomassa anammox de reatores </w:t>
      </w:r>
      <w:r>
        <w:rPr>
          <w:i/>
        </w:rPr>
        <w:t xml:space="preserve">sidestream </w:t>
      </w:r>
      <w:r>
        <w:t xml:space="preserve">para </w:t>
      </w:r>
      <w:r>
        <w:rPr>
          <w:i/>
        </w:rPr>
        <w:t xml:space="preserve">mainstream </w:t>
      </w:r>
      <w:r>
        <w:t xml:space="preserve">foi praticada com sucesso (WETT et al., 2015), entretanto, o processo </w:t>
      </w:r>
      <w:r>
        <w:rPr>
          <w:i/>
        </w:rPr>
        <w:t xml:space="preserve">mainstream </w:t>
      </w:r>
      <w:r>
        <w:t>Anammox foi implementado para tratar efluentes de lodos ativados e não a efluentes gerados na digestão anaeróbia.</w:t>
      </w:r>
    </w:p>
    <w:p w14:paraId="14039793" w14:textId="77777777" w:rsidR="00957D69" w:rsidRDefault="00957D69">
      <w:pPr>
        <w:pStyle w:val="Corpodetexto"/>
        <w:jc w:val="both"/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68DAA1F0" w14:textId="77777777" w:rsidR="00957D69" w:rsidRDefault="00D14AFB">
      <w:pPr>
        <w:pStyle w:val="Ttulo1"/>
        <w:spacing w:before="93"/>
      </w:pPr>
      <w:r>
        <w:rPr>
          <w:spacing w:val="-2"/>
        </w:rPr>
        <w:lastRenderedPageBreak/>
        <w:t>OBJETIVOS</w:t>
      </w:r>
    </w:p>
    <w:p w14:paraId="26837597" w14:textId="77777777" w:rsidR="00957D69" w:rsidRDefault="00D14AFB">
      <w:pPr>
        <w:pStyle w:val="Corpodetexto"/>
        <w:spacing w:before="122"/>
        <w:ind w:right="230"/>
        <w:jc w:val="both"/>
      </w:pPr>
      <w:r>
        <w:t>Investigar os efeitos das reduções gradativas de nitrogênio e da temperatura sobre a eficiência do processo Anammox. Além disso, avaliar o desempenho do processo de nitritação parcial-anammox (PNA) sob aeração intermitente</w:t>
      </w:r>
      <w:r>
        <w:rPr>
          <w:spacing w:val="-9"/>
        </w:rPr>
        <w:t xml:space="preserve"> </w:t>
      </w:r>
      <w:r>
        <w:t>automatizada</w:t>
      </w:r>
    </w:p>
    <w:p w14:paraId="1C42EFEF" w14:textId="77777777" w:rsidR="00957D69" w:rsidRDefault="00957D69">
      <w:pPr>
        <w:pStyle w:val="Corpodetexto"/>
        <w:ind w:left="0"/>
      </w:pPr>
    </w:p>
    <w:p w14:paraId="4EFB61A4" w14:textId="77777777" w:rsidR="00957D69" w:rsidRDefault="00D14AFB">
      <w:pPr>
        <w:pStyle w:val="Ttulo1"/>
      </w:pPr>
      <w:r>
        <w:rPr>
          <w:spacing w:val="-2"/>
        </w:rPr>
        <w:t>METODOLOGIA</w:t>
      </w:r>
      <w:r>
        <w:rPr>
          <w:spacing w:val="3"/>
        </w:rPr>
        <w:t xml:space="preserve"> </w:t>
      </w:r>
      <w:r>
        <w:rPr>
          <w:spacing w:val="-2"/>
        </w:rPr>
        <w:t>UTILIZADA</w:t>
      </w:r>
    </w:p>
    <w:p w14:paraId="1CDDA4CD" w14:textId="0C7E996F" w:rsidR="00957D69" w:rsidRDefault="00D14AFB">
      <w:pPr>
        <w:pStyle w:val="Corpodetexto"/>
        <w:spacing w:before="121"/>
        <w:ind w:right="229"/>
        <w:jc w:val="both"/>
      </w:pPr>
      <w:r>
        <w:rPr>
          <w:position w:val="1"/>
        </w:rPr>
        <w:t>Três reatores de fluxo ascendente contínuo, R</w:t>
      </w:r>
      <w:r>
        <w:rPr>
          <w:sz w:val="13"/>
        </w:rPr>
        <w:t>1</w:t>
      </w:r>
      <w:r>
        <w:rPr>
          <w:position w:val="1"/>
        </w:rPr>
        <w:t>, R</w:t>
      </w:r>
      <w:r>
        <w:rPr>
          <w:sz w:val="13"/>
        </w:rPr>
        <w:t>2</w:t>
      </w:r>
      <w:r>
        <w:rPr>
          <w:spacing w:val="40"/>
          <w:sz w:val="13"/>
        </w:rPr>
        <w:t xml:space="preserve"> </w:t>
      </w:r>
      <w:r>
        <w:rPr>
          <w:position w:val="1"/>
        </w:rPr>
        <w:t>e R</w:t>
      </w:r>
      <w:r>
        <w:rPr>
          <w:sz w:val="13"/>
        </w:rPr>
        <w:t>3</w:t>
      </w:r>
      <w:r>
        <w:rPr>
          <w:position w:val="1"/>
        </w:rPr>
        <w:t>, confeccionados em acrílico transparente, foram utilizados nesta pesquisa. Após 607 dias de operação do reator R</w:t>
      </w:r>
      <w:r>
        <w:rPr>
          <w:sz w:val="13"/>
        </w:rPr>
        <w:t>1</w:t>
      </w:r>
      <w:r>
        <w:rPr>
          <w:position w:val="1"/>
        </w:rPr>
        <w:t>, parte da biomassa granular anammox enriquecida, foi transferida do reator R</w:t>
      </w:r>
      <w:r>
        <w:rPr>
          <w:sz w:val="13"/>
        </w:rPr>
        <w:t>1</w:t>
      </w:r>
      <w:r>
        <w:rPr>
          <w:spacing w:val="28"/>
          <w:sz w:val="13"/>
        </w:rPr>
        <w:t xml:space="preserve"> </w:t>
      </w:r>
      <w:r>
        <w:rPr>
          <w:position w:val="1"/>
        </w:rPr>
        <w:t>(matriz) para o reator R</w:t>
      </w:r>
      <w:r>
        <w:rPr>
          <w:sz w:val="13"/>
        </w:rPr>
        <w:t xml:space="preserve">2 </w:t>
      </w:r>
      <w:r>
        <w:rPr>
          <w:position w:val="1"/>
        </w:rPr>
        <w:t xml:space="preserve">realizando-se o </w:t>
      </w:r>
      <w:r>
        <w:rPr>
          <w:i/>
          <w:position w:val="1"/>
        </w:rPr>
        <w:t xml:space="preserve">startup </w:t>
      </w:r>
      <w:r>
        <w:rPr>
          <w:position w:val="1"/>
        </w:rPr>
        <w:t>com 8,1 gSSV/L. A adaptação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biomassa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granular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anammox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em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R</w:t>
      </w:r>
      <w:r>
        <w:rPr>
          <w:sz w:val="13"/>
        </w:rPr>
        <w:t xml:space="preserve">2 </w:t>
      </w:r>
      <w:r>
        <w:rPr>
          <w:position w:val="1"/>
        </w:rPr>
        <w:t>foi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realizada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em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sete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estágios.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Nos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estágios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5,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manteve-se </w:t>
      </w:r>
      <w:r>
        <w:t>a temperatura de 37°C, ótima às bactérias anammox (</w:t>
      </w:r>
      <w:r w:rsidRPr="00612637">
        <w:rPr>
          <w:highlight w:val="yellow"/>
        </w:rPr>
        <w:t>ALI</w:t>
      </w:r>
      <w:r w:rsidR="00612637" w:rsidRPr="00612637">
        <w:rPr>
          <w:highlight w:val="yellow"/>
        </w:rPr>
        <w:t xml:space="preserve"> e </w:t>
      </w:r>
      <w:r w:rsidRPr="00612637">
        <w:rPr>
          <w:highlight w:val="yellow"/>
        </w:rPr>
        <w:t>OKABE, 2015</w:t>
      </w:r>
      <w:r>
        <w:t>), e reduziu-se a concentração afluente de nitrogênio de forma gradativa de 232 para 200, 150, 100 e 50 mgN/L, respectivamente. Posteriormente, nos estágios 6 e 7, reduziu-se a temperatura para 30 e, em seguida, para 25°C, respectivamente. No Brasil, 50 mgN/L e 25°C, são valores comuns aos esgotos domésticos (</w:t>
      </w:r>
      <w:r w:rsidRPr="00612637">
        <w:rPr>
          <w:highlight w:val="yellow"/>
        </w:rPr>
        <w:t>JORDÃO</w:t>
      </w:r>
      <w:r w:rsidR="00101ABA" w:rsidRPr="00612637">
        <w:rPr>
          <w:highlight w:val="yellow"/>
        </w:rPr>
        <w:t>e</w:t>
      </w:r>
      <w:r w:rsidRPr="00612637">
        <w:rPr>
          <w:highlight w:val="yellow"/>
        </w:rPr>
        <w:t xml:space="preserve"> </w:t>
      </w:r>
      <w:r w:rsidRPr="00612637">
        <w:rPr>
          <w:position w:val="1"/>
          <w:highlight w:val="yellow"/>
        </w:rPr>
        <w:t>PESSÔA, 2011; VON SPERLING</w:t>
      </w:r>
      <w:r w:rsidR="00612637" w:rsidRPr="00612637">
        <w:rPr>
          <w:position w:val="1"/>
          <w:highlight w:val="yellow"/>
        </w:rPr>
        <w:t xml:space="preserve"> e</w:t>
      </w:r>
      <w:r w:rsidRPr="00612637">
        <w:rPr>
          <w:position w:val="1"/>
          <w:highlight w:val="yellow"/>
        </w:rPr>
        <w:t xml:space="preserve"> CHERNICHARO, 2005</w:t>
      </w:r>
      <w:r>
        <w:rPr>
          <w:position w:val="1"/>
        </w:rPr>
        <w:t>). Por fim, o reator R</w:t>
      </w:r>
      <w:r>
        <w:rPr>
          <w:sz w:val="13"/>
        </w:rPr>
        <w:t>3</w:t>
      </w:r>
      <w:r>
        <w:rPr>
          <w:position w:val="1"/>
        </w:rPr>
        <w:t>, iniciado com 3.2 gSSV/L de biomassa granular anammox proveniente do reator R</w:t>
      </w:r>
      <w:r>
        <w:rPr>
          <w:sz w:val="13"/>
        </w:rPr>
        <w:t>2</w:t>
      </w:r>
      <w:r>
        <w:rPr>
          <w:position w:val="1"/>
        </w:rPr>
        <w:t xml:space="preserve">, foi operado com objetivo de estabelecer, em estágio </w:t>
      </w:r>
      <w:r>
        <w:t>único, o processo de nitritação parcial-anammox (</w:t>
      </w:r>
      <w:r>
        <w:rPr>
          <w:i/>
        </w:rPr>
        <w:t>partial nitritation-anammox</w:t>
      </w:r>
      <w:r>
        <w:t>, PNA). A Tabela 1 reúne as condições operacionais aplicadas aos três reatores.</w:t>
      </w:r>
    </w:p>
    <w:p w14:paraId="7E08063D" w14:textId="77777777" w:rsidR="00957D69" w:rsidRDefault="00957D69">
      <w:pPr>
        <w:pStyle w:val="Corpodetexto"/>
        <w:spacing w:before="1"/>
        <w:ind w:left="0"/>
      </w:pPr>
    </w:p>
    <w:p w14:paraId="14E45417" w14:textId="77777777" w:rsidR="00957D69" w:rsidRDefault="00D14AFB">
      <w:pPr>
        <w:ind w:left="106" w:right="106"/>
        <w:jc w:val="center"/>
        <w:rPr>
          <w:b/>
          <w:sz w:val="20"/>
        </w:rPr>
      </w:pPr>
      <w:r>
        <w:rPr>
          <w:b/>
          <w:sz w:val="20"/>
        </w:rPr>
        <w:t>Tabela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1: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Configurações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condições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operacionais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aplicadas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aos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três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reatores.</w:t>
      </w:r>
    </w:p>
    <w:tbl>
      <w:tblPr>
        <w:tblW w:w="0" w:type="auto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8"/>
        <w:gridCol w:w="1402"/>
        <w:gridCol w:w="1450"/>
        <w:gridCol w:w="1560"/>
        <w:gridCol w:w="1078"/>
      </w:tblGrid>
      <w:tr w:rsidR="00957D69" w14:paraId="2D4BD696" w14:textId="77777777" w:rsidTr="00404ABB">
        <w:trPr>
          <w:trHeight w:val="229"/>
        </w:trPr>
        <w:tc>
          <w:tcPr>
            <w:tcW w:w="3358" w:type="dxa"/>
          </w:tcPr>
          <w:p w14:paraId="167AA8A3" w14:textId="77777777" w:rsidR="00957D69" w:rsidRDefault="00D14AFB">
            <w:pPr>
              <w:pStyle w:val="TableParagraph"/>
              <w:ind w:lef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REATOR</w:t>
            </w:r>
          </w:p>
        </w:tc>
        <w:tc>
          <w:tcPr>
            <w:tcW w:w="1402" w:type="dxa"/>
          </w:tcPr>
          <w:p w14:paraId="7AA4241E" w14:textId="77777777" w:rsidR="00957D69" w:rsidRDefault="00D14AFB">
            <w:pPr>
              <w:pStyle w:val="TableParagraph"/>
              <w:ind w:left="37"/>
              <w:jc w:val="center"/>
              <w:rPr>
                <w:sz w:val="13"/>
              </w:rPr>
            </w:pPr>
            <w:r>
              <w:rPr>
                <w:spacing w:val="-5"/>
                <w:position w:val="1"/>
                <w:sz w:val="20"/>
              </w:rPr>
              <w:t>R</w:t>
            </w:r>
            <w:r>
              <w:rPr>
                <w:spacing w:val="-5"/>
                <w:sz w:val="13"/>
              </w:rPr>
              <w:t>1</w:t>
            </w:r>
          </w:p>
        </w:tc>
        <w:tc>
          <w:tcPr>
            <w:tcW w:w="1450" w:type="dxa"/>
          </w:tcPr>
          <w:p w14:paraId="060A87DE" w14:textId="77777777" w:rsidR="00957D69" w:rsidRDefault="00D14AFB">
            <w:pPr>
              <w:pStyle w:val="TableParagraph"/>
              <w:ind w:left="36"/>
              <w:jc w:val="center"/>
              <w:rPr>
                <w:sz w:val="13"/>
              </w:rPr>
            </w:pPr>
            <w:r>
              <w:rPr>
                <w:spacing w:val="-5"/>
                <w:position w:val="1"/>
                <w:sz w:val="20"/>
              </w:rPr>
              <w:t>R</w:t>
            </w:r>
            <w:r>
              <w:rPr>
                <w:spacing w:val="-5"/>
                <w:sz w:val="13"/>
              </w:rPr>
              <w:t>2</w:t>
            </w:r>
          </w:p>
        </w:tc>
        <w:tc>
          <w:tcPr>
            <w:tcW w:w="1560" w:type="dxa"/>
          </w:tcPr>
          <w:p w14:paraId="5D0AF197" w14:textId="77777777" w:rsidR="00957D69" w:rsidRDefault="00D14AFB">
            <w:pPr>
              <w:pStyle w:val="TableParagraph"/>
              <w:ind w:left="35"/>
              <w:jc w:val="center"/>
              <w:rPr>
                <w:sz w:val="13"/>
              </w:rPr>
            </w:pPr>
            <w:r>
              <w:rPr>
                <w:spacing w:val="-5"/>
                <w:position w:val="1"/>
                <w:sz w:val="20"/>
              </w:rPr>
              <w:t>R</w:t>
            </w:r>
            <w:r>
              <w:rPr>
                <w:spacing w:val="-5"/>
                <w:sz w:val="13"/>
              </w:rPr>
              <w:t>3</w:t>
            </w:r>
          </w:p>
        </w:tc>
        <w:tc>
          <w:tcPr>
            <w:tcW w:w="1078" w:type="dxa"/>
          </w:tcPr>
          <w:p w14:paraId="07E31290" w14:textId="77777777" w:rsidR="00957D69" w:rsidRDefault="00D14AFB">
            <w:pPr>
              <w:pStyle w:val="TableParagraph"/>
              <w:ind w:left="3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UNIDADE</w:t>
            </w:r>
          </w:p>
        </w:tc>
      </w:tr>
      <w:tr w:rsidR="00957D69" w14:paraId="6DD0AEDB" w14:textId="77777777" w:rsidTr="00404ABB">
        <w:trPr>
          <w:trHeight w:val="229"/>
        </w:trPr>
        <w:tc>
          <w:tcPr>
            <w:tcW w:w="3358" w:type="dxa"/>
          </w:tcPr>
          <w:p w14:paraId="5173FBC7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Processo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alvo</w:t>
            </w:r>
          </w:p>
        </w:tc>
        <w:tc>
          <w:tcPr>
            <w:tcW w:w="1402" w:type="dxa"/>
          </w:tcPr>
          <w:p w14:paraId="698EDF7A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Anammox</w:t>
            </w:r>
          </w:p>
        </w:tc>
        <w:tc>
          <w:tcPr>
            <w:tcW w:w="1450" w:type="dxa"/>
          </w:tcPr>
          <w:p w14:paraId="29203186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Anammox</w:t>
            </w:r>
          </w:p>
        </w:tc>
        <w:tc>
          <w:tcPr>
            <w:tcW w:w="1560" w:type="dxa"/>
          </w:tcPr>
          <w:p w14:paraId="5318B23A" w14:textId="1FB2067A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PNA</w:t>
            </w:r>
          </w:p>
        </w:tc>
        <w:tc>
          <w:tcPr>
            <w:tcW w:w="1078" w:type="dxa"/>
          </w:tcPr>
          <w:p w14:paraId="757A3F06" w14:textId="77777777" w:rsidR="00957D69" w:rsidRDefault="00D14AFB">
            <w:pPr>
              <w:pStyle w:val="TableParagraph"/>
              <w:ind w:left="3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------------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957D69" w14:paraId="6062069D" w14:textId="77777777" w:rsidTr="00404ABB">
        <w:trPr>
          <w:trHeight w:val="229"/>
        </w:trPr>
        <w:tc>
          <w:tcPr>
            <w:tcW w:w="3358" w:type="dxa"/>
          </w:tcPr>
          <w:p w14:paraId="79D0F420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operação</w:t>
            </w:r>
          </w:p>
        </w:tc>
        <w:tc>
          <w:tcPr>
            <w:tcW w:w="1402" w:type="dxa"/>
          </w:tcPr>
          <w:p w14:paraId="60327778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641</w:t>
            </w:r>
          </w:p>
        </w:tc>
        <w:tc>
          <w:tcPr>
            <w:tcW w:w="1450" w:type="dxa"/>
          </w:tcPr>
          <w:p w14:paraId="0B1E1C93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1560" w:type="dxa"/>
          </w:tcPr>
          <w:p w14:paraId="1D3AEF0C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078" w:type="dxa"/>
          </w:tcPr>
          <w:p w14:paraId="78F1694F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</w:tc>
      </w:tr>
      <w:tr w:rsidR="00957D69" w14:paraId="76772DB4" w14:textId="77777777" w:rsidTr="00404ABB">
        <w:trPr>
          <w:trHeight w:val="229"/>
        </w:trPr>
        <w:tc>
          <w:tcPr>
            <w:tcW w:w="3358" w:type="dxa"/>
          </w:tcPr>
          <w:p w14:paraId="2BA4AC3F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Volume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útil</w:t>
            </w:r>
          </w:p>
        </w:tc>
        <w:tc>
          <w:tcPr>
            <w:tcW w:w="1402" w:type="dxa"/>
          </w:tcPr>
          <w:p w14:paraId="6770C659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6,5</w:t>
            </w:r>
          </w:p>
        </w:tc>
        <w:tc>
          <w:tcPr>
            <w:tcW w:w="1450" w:type="dxa"/>
          </w:tcPr>
          <w:p w14:paraId="6C763FE3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1,0</w:t>
            </w:r>
          </w:p>
        </w:tc>
        <w:tc>
          <w:tcPr>
            <w:tcW w:w="1560" w:type="dxa"/>
          </w:tcPr>
          <w:p w14:paraId="0F7DD576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1078" w:type="dxa"/>
          </w:tcPr>
          <w:p w14:paraId="6972DC38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</w:tr>
      <w:tr w:rsidR="00957D69" w14:paraId="0D977578" w14:textId="77777777" w:rsidTr="00404ABB">
        <w:trPr>
          <w:trHeight w:val="229"/>
        </w:trPr>
        <w:tc>
          <w:tcPr>
            <w:tcW w:w="3358" w:type="dxa"/>
          </w:tcPr>
          <w:p w14:paraId="552138AB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Tempo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detenção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hidráulico</w:t>
            </w:r>
          </w:p>
        </w:tc>
        <w:tc>
          <w:tcPr>
            <w:tcW w:w="1402" w:type="dxa"/>
          </w:tcPr>
          <w:p w14:paraId="7687CFB6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50" w:type="dxa"/>
          </w:tcPr>
          <w:p w14:paraId="53385FEB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0" w:type="dxa"/>
          </w:tcPr>
          <w:p w14:paraId="34C49C4E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78" w:type="dxa"/>
          </w:tcPr>
          <w:p w14:paraId="75AD1F52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h</w:t>
            </w:r>
          </w:p>
        </w:tc>
      </w:tr>
      <w:tr w:rsidR="00957D69" w14:paraId="1B16CDD5" w14:textId="77777777" w:rsidTr="00404ABB">
        <w:trPr>
          <w:trHeight w:val="229"/>
        </w:trPr>
        <w:tc>
          <w:tcPr>
            <w:tcW w:w="3358" w:type="dxa"/>
          </w:tcPr>
          <w:p w14:paraId="068226A2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Nitrogênio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afluente</w:t>
            </w:r>
          </w:p>
        </w:tc>
        <w:tc>
          <w:tcPr>
            <w:tcW w:w="1402" w:type="dxa"/>
          </w:tcPr>
          <w:p w14:paraId="4A10C481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232</w:t>
            </w:r>
          </w:p>
        </w:tc>
        <w:tc>
          <w:tcPr>
            <w:tcW w:w="1450" w:type="dxa"/>
          </w:tcPr>
          <w:p w14:paraId="004F76CA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560" w:type="dxa"/>
          </w:tcPr>
          <w:p w14:paraId="038CC268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078" w:type="dxa"/>
          </w:tcPr>
          <w:p w14:paraId="4A0ACAE7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mgN/L</w:t>
            </w:r>
          </w:p>
        </w:tc>
      </w:tr>
      <w:tr w:rsidR="00957D69" w14:paraId="027B6CE1" w14:textId="77777777" w:rsidTr="00404ABB">
        <w:trPr>
          <w:trHeight w:val="229"/>
        </w:trPr>
        <w:tc>
          <w:tcPr>
            <w:tcW w:w="3358" w:type="dxa"/>
          </w:tcPr>
          <w:p w14:paraId="54E323C4" w14:textId="77777777" w:rsidR="00957D69" w:rsidRDefault="00D14AFB">
            <w:pPr>
              <w:pStyle w:val="TableParagraph"/>
              <w:ind w:left="71"/>
              <w:rPr>
                <w:position w:val="1"/>
                <w:sz w:val="20"/>
              </w:rPr>
            </w:pPr>
            <w:r>
              <w:rPr>
                <w:position w:val="1"/>
                <w:sz w:val="20"/>
              </w:rPr>
              <w:t>NO</w:t>
            </w:r>
            <w:r>
              <w:rPr>
                <w:sz w:val="13"/>
              </w:rPr>
              <w:t>2</w:t>
            </w:r>
            <w:r>
              <w:rPr>
                <w:position w:val="8"/>
                <w:sz w:val="13"/>
              </w:rPr>
              <w:t>-</w:t>
            </w:r>
            <w:r>
              <w:rPr>
                <w:position w:val="1"/>
                <w:sz w:val="20"/>
              </w:rPr>
              <w:t>/NH</w:t>
            </w:r>
            <w:r>
              <w:rPr>
                <w:sz w:val="13"/>
              </w:rPr>
              <w:t>4</w:t>
            </w:r>
            <w:r>
              <w:rPr>
                <w:position w:val="8"/>
                <w:sz w:val="13"/>
              </w:rPr>
              <w:t>+</w:t>
            </w:r>
            <w:r>
              <w:rPr>
                <w:spacing w:val="5"/>
                <w:position w:val="8"/>
                <w:sz w:val="13"/>
              </w:rPr>
              <w:t xml:space="preserve"> </w:t>
            </w:r>
            <w:r>
              <w:rPr>
                <w:spacing w:val="-2"/>
                <w:position w:val="1"/>
                <w:sz w:val="20"/>
              </w:rPr>
              <w:t>afluente</w:t>
            </w:r>
          </w:p>
        </w:tc>
        <w:tc>
          <w:tcPr>
            <w:tcW w:w="1402" w:type="dxa"/>
          </w:tcPr>
          <w:p w14:paraId="28E009AB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1,32</w:t>
            </w:r>
          </w:p>
        </w:tc>
        <w:tc>
          <w:tcPr>
            <w:tcW w:w="1450" w:type="dxa"/>
          </w:tcPr>
          <w:p w14:paraId="35DFBB70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1,32</w:t>
            </w:r>
          </w:p>
        </w:tc>
        <w:tc>
          <w:tcPr>
            <w:tcW w:w="1560" w:type="dxa"/>
          </w:tcPr>
          <w:p w14:paraId="63269B1E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→1,32</w:t>
            </w:r>
          </w:p>
        </w:tc>
        <w:tc>
          <w:tcPr>
            <w:tcW w:w="1078" w:type="dxa"/>
          </w:tcPr>
          <w:p w14:paraId="5B19A929" w14:textId="77777777" w:rsidR="00957D69" w:rsidRDefault="00D14AFB">
            <w:pPr>
              <w:pStyle w:val="TableParagraph"/>
              <w:ind w:left="3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------------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957D69" w14:paraId="67FC46C5" w14:textId="77777777" w:rsidTr="00404ABB">
        <w:trPr>
          <w:trHeight w:val="229"/>
        </w:trPr>
        <w:tc>
          <w:tcPr>
            <w:tcW w:w="3358" w:type="dxa"/>
          </w:tcPr>
          <w:p w14:paraId="540CA531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pacing w:val="-2"/>
                <w:sz w:val="20"/>
              </w:rPr>
              <w:t>Temperatura</w:t>
            </w:r>
          </w:p>
        </w:tc>
        <w:tc>
          <w:tcPr>
            <w:tcW w:w="1402" w:type="dxa"/>
          </w:tcPr>
          <w:p w14:paraId="042A1E27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450" w:type="dxa"/>
          </w:tcPr>
          <w:p w14:paraId="5ED35E03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→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60" w:type="dxa"/>
          </w:tcPr>
          <w:p w14:paraId="6DCA7A7F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078" w:type="dxa"/>
          </w:tcPr>
          <w:p w14:paraId="0BCA3913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°C</w:t>
            </w:r>
          </w:p>
        </w:tc>
      </w:tr>
      <w:tr w:rsidR="00957D69" w14:paraId="29CF45D7" w14:textId="77777777" w:rsidTr="00404ABB">
        <w:trPr>
          <w:trHeight w:val="229"/>
        </w:trPr>
        <w:tc>
          <w:tcPr>
            <w:tcW w:w="3358" w:type="dxa"/>
          </w:tcPr>
          <w:p w14:paraId="5433EE99" w14:textId="77777777" w:rsidR="00957D69" w:rsidRDefault="00D14AFB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Carga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nitrogenada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volumétrica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aplicada</w:t>
            </w:r>
          </w:p>
        </w:tc>
        <w:tc>
          <w:tcPr>
            <w:tcW w:w="1402" w:type="dxa"/>
          </w:tcPr>
          <w:p w14:paraId="67554729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1,38</w:t>
            </w:r>
          </w:p>
        </w:tc>
        <w:tc>
          <w:tcPr>
            <w:tcW w:w="1450" w:type="dxa"/>
          </w:tcPr>
          <w:p w14:paraId="4D97D918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1,38</w:t>
            </w:r>
          </w:p>
        </w:tc>
        <w:tc>
          <w:tcPr>
            <w:tcW w:w="1560" w:type="dxa"/>
          </w:tcPr>
          <w:p w14:paraId="55704875" w14:textId="77777777" w:rsidR="00957D69" w:rsidRDefault="00D14AFB"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1,38</w:t>
            </w:r>
          </w:p>
        </w:tc>
        <w:tc>
          <w:tcPr>
            <w:tcW w:w="1078" w:type="dxa"/>
          </w:tcPr>
          <w:p w14:paraId="4F988912" w14:textId="77777777" w:rsidR="00957D69" w:rsidRDefault="00D14AFB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kgN/m</w:t>
            </w:r>
            <w:r>
              <w:rPr>
                <w:spacing w:val="-2"/>
                <w:sz w:val="20"/>
                <w:vertAlign w:val="superscript"/>
              </w:rPr>
              <w:t>3</w:t>
            </w:r>
            <w:r>
              <w:rPr>
                <w:spacing w:val="-2"/>
                <w:sz w:val="20"/>
              </w:rPr>
              <w:t>.d</w:t>
            </w:r>
          </w:p>
        </w:tc>
      </w:tr>
      <w:tr w:rsidR="00957D69" w14:paraId="18A706B7" w14:textId="77777777" w:rsidTr="00404ABB">
        <w:trPr>
          <w:trHeight w:val="229"/>
        </w:trPr>
        <w:tc>
          <w:tcPr>
            <w:tcW w:w="3358" w:type="dxa"/>
          </w:tcPr>
          <w:p w14:paraId="0FB71BD4" w14:textId="77777777" w:rsidR="00957D69" w:rsidRDefault="00D14AFB"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Suplementação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nitrito</w:t>
            </w:r>
          </w:p>
        </w:tc>
        <w:tc>
          <w:tcPr>
            <w:tcW w:w="1402" w:type="dxa"/>
          </w:tcPr>
          <w:p w14:paraId="7EB35BDE" w14:textId="77777777" w:rsidR="00957D69" w:rsidRDefault="00D14AF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Sim</w:t>
            </w:r>
          </w:p>
        </w:tc>
        <w:tc>
          <w:tcPr>
            <w:tcW w:w="1450" w:type="dxa"/>
          </w:tcPr>
          <w:p w14:paraId="41D85B45" w14:textId="77777777" w:rsidR="00957D69" w:rsidRDefault="00D14AF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Sim</w:t>
            </w:r>
          </w:p>
        </w:tc>
        <w:tc>
          <w:tcPr>
            <w:tcW w:w="1560" w:type="dxa"/>
          </w:tcPr>
          <w:p w14:paraId="24323737" w14:textId="77777777" w:rsidR="00957D69" w:rsidRDefault="00D14AF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Parcialmente</w:t>
            </w:r>
          </w:p>
        </w:tc>
        <w:tc>
          <w:tcPr>
            <w:tcW w:w="1078" w:type="dxa"/>
          </w:tcPr>
          <w:p w14:paraId="357D07F5" w14:textId="77777777" w:rsidR="00957D69" w:rsidRDefault="00D14AFB">
            <w:pPr>
              <w:pStyle w:val="TableParagraph"/>
              <w:spacing w:line="209" w:lineRule="exact"/>
              <w:ind w:left="3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------------</w:t>
            </w:r>
            <w:r>
              <w:rPr>
                <w:spacing w:val="-10"/>
                <w:sz w:val="20"/>
              </w:rPr>
              <w:t>-</w:t>
            </w:r>
          </w:p>
        </w:tc>
      </w:tr>
    </w:tbl>
    <w:p w14:paraId="5AB9639C" w14:textId="412D6504" w:rsidR="00957D69" w:rsidRPr="00CD6A8A" w:rsidRDefault="00404ABB" w:rsidP="00CD6A8A">
      <w:pPr>
        <w:pStyle w:val="Corpodetexto"/>
        <w:spacing w:before="6"/>
        <w:rPr>
          <w:sz w:val="18"/>
          <w:szCs w:val="18"/>
        </w:rPr>
      </w:pPr>
      <w:r w:rsidRPr="00B46334">
        <w:rPr>
          <w:sz w:val="18"/>
          <w:szCs w:val="18"/>
          <w:highlight w:val="yellow"/>
        </w:rPr>
        <w:t xml:space="preserve">Legenda: </w:t>
      </w:r>
      <w:r w:rsidR="00D14AFB" w:rsidRPr="00B46334">
        <w:rPr>
          <w:sz w:val="18"/>
          <w:szCs w:val="18"/>
          <w:highlight w:val="yellow"/>
        </w:rPr>
        <w:t>PNA</w:t>
      </w:r>
      <w:r w:rsidRPr="00B46334">
        <w:rPr>
          <w:sz w:val="18"/>
          <w:szCs w:val="18"/>
          <w:highlight w:val="yellow"/>
        </w:rPr>
        <w:t xml:space="preserve"> - </w:t>
      </w:r>
      <w:r w:rsidR="00D14AFB" w:rsidRPr="00B46334">
        <w:rPr>
          <w:sz w:val="18"/>
          <w:szCs w:val="18"/>
          <w:highlight w:val="yellow"/>
        </w:rPr>
        <w:t>nitritação</w:t>
      </w:r>
      <w:r w:rsidR="00D14AFB" w:rsidRPr="00B46334">
        <w:rPr>
          <w:spacing w:val="-7"/>
          <w:sz w:val="18"/>
          <w:szCs w:val="18"/>
          <w:highlight w:val="yellow"/>
        </w:rPr>
        <w:t xml:space="preserve"> </w:t>
      </w:r>
      <w:r w:rsidR="00D14AFB" w:rsidRPr="00B46334">
        <w:rPr>
          <w:sz w:val="18"/>
          <w:szCs w:val="18"/>
          <w:highlight w:val="yellow"/>
        </w:rPr>
        <w:t>parcial-</w:t>
      </w:r>
      <w:r w:rsidR="00D14AFB" w:rsidRPr="00B46334">
        <w:rPr>
          <w:spacing w:val="-2"/>
          <w:sz w:val="18"/>
          <w:szCs w:val="18"/>
          <w:highlight w:val="yellow"/>
        </w:rPr>
        <w:t>anammox.</w:t>
      </w:r>
    </w:p>
    <w:p w14:paraId="152F3C4E" w14:textId="77777777" w:rsidR="00957D69" w:rsidRDefault="00957D69">
      <w:pPr>
        <w:pStyle w:val="Corpodetexto"/>
        <w:spacing w:before="1"/>
        <w:ind w:left="0"/>
      </w:pPr>
    </w:p>
    <w:p w14:paraId="50292DA3" w14:textId="77777777" w:rsidR="00957D69" w:rsidRDefault="00D14AFB" w:rsidP="00AD1B2F">
      <w:pPr>
        <w:pStyle w:val="Corpodetexto"/>
        <w:ind w:left="232" w:right="230"/>
        <w:jc w:val="both"/>
      </w:pPr>
      <w:r>
        <w:t>Os três reatores foram alimentados com meio sintético adaptado, conforme descrito na metodologia de van de Graaf et al. (1996), e sem adição de matéria orgânica. Antes da alimentação, a mistura gasosa de argônio e gás carbônico, na proporção de 95/5%, foi purgada no tanque de alimentação para a redução da concentração de oxigênio dissolvido do meio sintético (OD ≤ 0,50 mgOD/L).</w:t>
      </w:r>
    </w:p>
    <w:p w14:paraId="5851F0A6" w14:textId="77777777" w:rsidR="00AD1B2F" w:rsidRDefault="00AD1B2F" w:rsidP="00AD1B2F">
      <w:pPr>
        <w:pStyle w:val="Corpodetexto"/>
        <w:ind w:left="232" w:right="230"/>
        <w:jc w:val="both"/>
      </w:pPr>
    </w:p>
    <w:p w14:paraId="56C8B3FC" w14:textId="77777777" w:rsidR="00957D69" w:rsidRDefault="00D14AFB" w:rsidP="00AD1B2F">
      <w:pPr>
        <w:pStyle w:val="Corpodetexto"/>
        <w:ind w:left="232" w:right="227"/>
        <w:jc w:val="both"/>
        <w:rPr>
          <w:position w:val="1"/>
        </w:rPr>
      </w:pPr>
      <w:r>
        <w:rPr>
          <w:position w:val="1"/>
        </w:rPr>
        <w:t>Para os reatores R</w:t>
      </w:r>
      <w:r>
        <w:rPr>
          <w:sz w:val="13"/>
        </w:rPr>
        <w:t>1</w:t>
      </w:r>
      <w:r>
        <w:rPr>
          <w:spacing w:val="40"/>
          <w:sz w:val="13"/>
        </w:rPr>
        <w:t xml:space="preserve"> </w:t>
      </w:r>
      <w:r>
        <w:rPr>
          <w:position w:val="1"/>
        </w:rPr>
        <w:t>e R</w:t>
      </w:r>
      <w:r>
        <w:rPr>
          <w:sz w:val="13"/>
        </w:rPr>
        <w:t>2</w:t>
      </w:r>
      <w:r>
        <w:rPr>
          <w:position w:val="1"/>
        </w:rPr>
        <w:t>, o meio sintético foi preparado com relação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>de 1,32, conforme estequiometria do processo anammox (STROUS et al., 1998). Para o reator R</w:t>
      </w:r>
      <w:r>
        <w:rPr>
          <w:sz w:val="13"/>
        </w:rPr>
        <w:t>3</w:t>
      </w:r>
      <w:r>
        <w:rPr>
          <w:position w:val="1"/>
        </w:rPr>
        <w:t xml:space="preserve">, nitrito deixou de ser </w:t>
      </w:r>
      <w:r>
        <w:t xml:space="preserve">suplementado ao meio sintético para que fosse produzido via PNA, a partir da aeração intermitente automatizada (AIA). A AIA foi implementada mediante a utilização de placa Arduino (On:Off = 15:45 min) e vazão de ar (10 mL/min) regulada por rotâmetro analógico (TTVXO). O oxímetro (Hach, HQ40d multi), </w:t>
      </w:r>
      <w:r>
        <w:rPr>
          <w:position w:val="1"/>
        </w:rPr>
        <w:t>utilizado no monitoramento dos reatores R</w:t>
      </w:r>
      <w:r>
        <w:rPr>
          <w:sz w:val="13"/>
        </w:rPr>
        <w:t>1</w:t>
      </w:r>
      <w:r>
        <w:rPr>
          <w:spacing w:val="18"/>
          <w:sz w:val="13"/>
        </w:rPr>
        <w:t xml:space="preserve"> </w:t>
      </w:r>
      <w:r>
        <w:rPr>
          <w:position w:val="1"/>
        </w:rPr>
        <w:t>e R</w:t>
      </w:r>
      <w:r>
        <w:rPr>
          <w:sz w:val="13"/>
        </w:rPr>
        <w:t>2</w:t>
      </w:r>
      <w:r>
        <w:rPr>
          <w:position w:val="1"/>
        </w:rPr>
        <w:t>, foi destinado à assistência técnica durante operação do reator R</w:t>
      </w:r>
      <w:r>
        <w:rPr>
          <w:sz w:val="13"/>
        </w:rPr>
        <w:t xml:space="preserve">3 </w:t>
      </w:r>
      <w:r>
        <w:rPr>
          <w:position w:val="1"/>
        </w:rPr>
        <w:t xml:space="preserve">e a medição de OD ficou comprometida. Um </w:t>
      </w:r>
      <w:r>
        <w:rPr>
          <w:i/>
          <w:position w:val="1"/>
        </w:rPr>
        <w:t xml:space="preserve">headspace </w:t>
      </w:r>
      <w:r>
        <w:rPr>
          <w:position w:val="1"/>
        </w:rPr>
        <w:t>de separador trifásico, projetado conforme o reator utilizado por Zhang et al. (2021), foi acoplado ao reator R</w:t>
      </w:r>
      <w:r>
        <w:rPr>
          <w:sz w:val="13"/>
        </w:rPr>
        <w:t>3</w:t>
      </w:r>
      <w:r>
        <w:rPr>
          <w:spacing w:val="36"/>
          <w:sz w:val="13"/>
        </w:rPr>
        <w:t xml:space="preserve"> </w:t>
      </w:r>
      <w:r>
        <w:rPr>
          <w:position w:val="1"/>
        </w:rPr>
        <w:t xml:space="preserve">para impedir a lavagem dos grânulos arrastados </w:t>
      </w:r>
      <w:r>
        <w:t xml:space="preserve">pelas bolhas de ar (Figura 1). Ao invés da pedra porosa, uma cortina flexível perfurada de 10 cm foi </w:t>
      </w:r>
      <w:r>
        <w:rPr>
          <w:position w:val="1"/>
        </w:rPr>
        <w:t>cuidadosamente moldada junto fundo do reator R</w:t>
      </w:r>
      <w:r>
        <w:rPr>
          <w:sz w:val="13"/>
        </w:rPr>
        <w:t>3</w:t>
      </w:r>
      <w:r>
        <w:rPr>
          <w:spacing w:val="29"/>
          <w:sz w:val="13"/>
        </w:rPr>
        <w:t xml:space="preserve"> </w:t>
      </w:r>
      <w:r>
        <w:rPr>
          <w:position w:val="1"/>
        </w:rPr>
        <w:t>para promover a otimização da aeração.</w:t>
      </w:r>
    </w:p>
    <w:p w14:paraId="6CADA85B" w14:textId="77777777" w:rsidR="00957D69" w:rsidRDefault="00957D69">
      <w:pPr>
        <w:pStyle w:val="Corpodetexto"/>
        <w:jc w:val="both"/>
        <w:rPr>
          <w:position w:val="1"/>
        </w:rPr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5D2094C8" w14:textId="77777777" w:rsidR="00957D69" w:rsidRDefault="00957D69">
      <w:pPr>
        <w:pStyle w:val="Corpodetexto"/>
        <w:spacing w:before="11"/>
        <w:ind w:left="0"/>
        <w:rPr>
          <w:sz w:val="13"/>
        </w:rPr>
      </w:pPr>
    </w:p>
    <w:p w14:paraId="45F8A1E2" w14:textId="77777777" w:rsidR="00957D69" w:rsidRDefault="00D14AFB">
      <w:pPr>
        <w:pStyle w:val="Corpodetexto"/>
        <w:ind w:left="2175"/>
      </w:pPr>
      <w:r>
        <w:rPr>
          <w:noProof/>
        </w:rPr>
        <w:drawing>
          <wp:inline distT="0" distB="0" distL="0" distR="0" wp14:anchorId="5BA10851" wp14:editId="4BC8F3F3">
            <wp:extent cx="3208499" cy="180212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499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4426" w14:textId="77777777" w:rsidR="00957D69" w:rsidRDefault="00D14AFB">
      <w:pPr>
        <w:spacing w:line="237" w:lineRule="auto"/>
        <w:ind w:left="404" w:right="404" w:hanging="1"/>
        <w:jc w:val="center"/>
        <w:rPr>
          <w:b/>
          <w:sz w:val="20"/>
        </w:rPr>
      </w:pPr>
      <w:r>
        <w:rPr>
          <w:b/>
          <w:position w:val="1"/>
          <w:sz w:val="20"/>
        </w:rPr>
        <w:t xml:space="preserve">Figura 1: Funcionamento do </w:t>
      </w:r>
      <w:r>
        <w:rPr>
          <w:b/>
          <w:i/>
          <w:position w:val="1"/>
          <w:sz w:val="20"/>
        </w:rPr>
        <w:t xml:space="preserve">headspace </w:t>
      </w:r>
      <w:r>
        <w:rPr>
          <w:b/>
          <w:position w:val="1"/>
          <w:sz w:val="20"/>
        </w:rPr>
        <w:t>de separador trifásico no Reator R</w:t>
      </w:r>
      <w:r>
        <w:rPr>
          <w:b/>
          <w:sz w:val="13"/>
        </w:rPr>
        <w:t>3</w:t>
      </w:r>
      <w:r>
        <w:rPr>
          <w:b/>
          <w:position w:val="1"/>
          <w:sz w:val="20"/>
        </w:rPr>
        <w:t xml:space="preserve">. (A) desenho técnico do </w:t>
      </w:r>
      <w:r>
        <w:rPr>
          <w:b/>
          <w:i/>
          <w:sz w:val="20"/>
        </w:rPr>
        <w:t>headspace</w:t>
      </w:r>
      <w:r>
        <w:rPr>
          <w:b/>
          <w:sz w:val="20"/>
        </w:rPr>
        <w:t>;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(B)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agitação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intensa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grânulos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durante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aeração;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(C)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retenção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grânulos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quando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 aeração era cessada.</w:t>
      </w:r>
    </w:p>
    <w:p w14:paraId="0AAE58F9" w14:textId="77777777" w:rsidR="00957D69" w:rsidRDefault="00D14AFB">
      <w:pPr>
        <w:pStyle w:val="Corpodetexto"/>
        <w:spacing w:before="209"/>
        <w:ind w:right="77"/>
      </w:pPr>
      <w:r>
        <w:t>As</w:t>
      </w:r>
      <w:r>
        <w:rPr>
          <w:spacing w:val="40"/>
        </w:rPr>
        <w:t xml:space="preserve"> </w:t>
      </w:r>
      <w:r>
        <w:t>análises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temperatura,</w:t>
      </w:r>
      <w:r>
        <w:rPr>
          <w:spacing w:val="40"/>
        </w:rPr>
        <w:t xml:space="preserve"> </w:t>
      </w:r>
      <w:r>
        <w:t>pH,</w:t>
      </w:r>
      <w:r>
        <w:rPr>
          <w:spacing w:val="40"/>
        </w:rPr>
        <w:t xml:space="preserve"> </w:t>
      </w:r>
      <w:r>
        <w:t>alcalinidade,</w:t>
      </w:r>
      <w:r>
        <w:rPr>
          <w:spacing w:val="40"/>
        </w:rPr>
        <w:t xml:space="preserve"> </w:t>
      </w:r>
      <w:r>
        <w:t>N-amônio,</w:t>
      </w:r>
      <w:r>
        <w:rPr>
          <w:spacing w:val="40"/>
        </w:rPr>
        <w:t xml:space="preserve"> </w:t>
      </w:r>
      <w:r>
        <w:t>N-nitrito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N-nitrato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série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sólidos,</w:t>
      </w:r>
      <w:r>
        <w:rPr>
          <w:spacing w:val="40"/>
        </w:rPr>
        <w:t xml:space="preserve"> </w:t>
      </w:r>
      <w:r>
        <w:t>foram realizadas semanalmente, conforme padrão internacional (APHA, 2012).</w:t>
      </w:r>
    </w:p>
    <w:p w14:paraId="5D9802F9" w14:textId="77777777" w:rsidR="00957D69" w:rsidRDefault="00957D69">
      <w:pPr>
        <w:pStyle w:val="Corpodetexto"/>
        <w:spacing w:before="1"/>
        <w:ind w:left="0"/>
      </w:pPr>
    </w:p>
    <w:p w14:paraId="2BB70557" w14:textId="0AD5E366" w:rsidR="00957D69" w:rsidRDefault="00D14AFB">
      <w:pPr>
        <w:pStyle w:val="Ttulo1"/>
      </w:pPr>
      <w:r>
        <w:rPr>
          <w:spacing w:val="-2"/>
        </w:rPr>
        <w:t>RESULTADOS</w:t>
      </w:r>
      <w:r>
        <w:rPr>
          <w:spacing w:val="2"/>
        </w:rPr>
        <w:t xml:space="preserve"> </w:t>
      </w:r>
      <w:r w:rsidR="003B061D">
        <w:rPr>
          <w:spacing w:val="-2"/>
        </w:rPr>
        <w:t xml:space="preserve">E </w:t>
      </w:r>
      <w:r w:rsidR="00417C7D">
        <w:rPr>
          <w:spacing w:val="-2"/>
        </w:rPr>
        <w:t>DISCUSSÃO</w:t>
      </w:r>
    </w:p>
    <w:p w14:paraId="2754B040" w14:textId="77777777" w:rsidR="00957D69" w:rsidRDefault="00D14AFB">
      <w:pPr>
        <w:pStyle w:val="Corpodetexto"/>
        <w:spacing w:before="121"/>
        <w:ind w:right="111"/>
        <w:rPr>
          <w:position w:val="1"/>
        </w:rPr>
      </w:pPr>
      <w:r>
        <w:rPr>
          <w:spacing w:val="-2"/>
          <w:position w:val="1"/>
        </w:rPr>
        <w:t>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enriquecimento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do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lodo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granular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anammox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no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reator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R</w:t>
      </w:r>
      <w:r>
        <w:rPr>
          <w:spacing w:val="-2"/>
          <w:sz w:val="13"/>
        </w:rPr>
        <w:t>1</w:t>
      </w:r>
      <w:r>
        <w:rPr>
          <w:spacing w:val="-3"/>
          <w:sz w:val="13"/>
        </w:rPr>
        <w:t xml:space="preserve"> </w:t>
      </w:r>
      <w:r>
        <w:rPr>
          <w:spacing w:val="-2"/>
          <w:position w:val="1"/>
        </w:rPr>
        <w:t>e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a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adaptação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da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biomassa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granular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anammox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no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 xml:space="preserve">reator </w:t>
      </w:r>
      <w:r>
        <w:rPr>
          <w:spacing w:val="-4"/>
          <w:position w:val="1"/>
        </w:rPr>
        <w:t>R</w:t>
      </w:r>
      <w:r>
        <w:rPr>
          <w:spacing w:val="-4"/>
          <w:sz w:val="13"/>
        </w:rPr>
        <w:t>2</w:t>
      </w:r>
      <w:r>
        <w:rPr>
          <w:spacing w:val="-6"/>
          <w:sz w:val="13"/>
        </w:rPr>
        <w:t xml:space="preserve"> </w:t>
      </w:r>
      <w:r>
        <w:rPr>
          <w:spacing w:val="-4"/>
          <w:position w:val="1"/>
        </w:rPr>
        <w:t>podem</w:t>
      </w:r>
      <w:r>
        <w:rPr>
          <w:spacing w:val="3"/>
          <w:position w:val="1"/>
        </w:rPr>
        <w:t xml:space="preserve"> </w:t>
      </w:r>
      <w:r>
        <w:rPr>
          <w:spacing w:val="-4"/>
          <w:position w:val="1"/>
        </w:rPr>
        <w:t>ser</w:t>
      </w:r>
      <w:r>
        <w:rPr>
          <w:spacing w:val="4"/>
          <w:position w:val="1"/>
        </w:rPr>
        <w:t xml:space="preserve"> </w:t>
      </w:r>
      <w:r>
        <w:rPr>
          <w:spacing w:val="-4"/>
          <w:position w:val="1"/>
        </w:rPr>
        <w:t>vistos</w:t>
      </w:r>
      <w:r>
        <w:rPr>
          <w:spacing w:val="4"/>
          <w:position w:val="1"/>
        </w:rPr>
        <w:t xml:space="preserve"> </w:t>
      </w:r>
      <w:r>
        <w:rPr>
          <w:spacing w:val="-4"/>
          <w:position w:val="1"/>
        </w:rPr>
        <w:t>nas</w:t>
      </w:r>
      <w:r>
        <w:rPr>
          <w:spacing w:val="5"/>
          <w:position w:val="1"/>
        </w:rPr>
        <w:t xml:space="preserve"> </w:t>
      </w:r>
      <w:r>
        <w:rPr>
          <w:spacing w:val="-4"/>
          <w:position w:val="1"/>
        </w:rPr>
        <w:t>Figuras</w:t>
      </w:r>
      <w:r>
        <w:rPr>
          <w:spacing w:val="4"/>
          <w:position w:val="1"/>
        </w:rPr>
        <w:t xml:space="preserve"> </w:t>
      </w:r>
      <w:r>
        <w:rPr>
          <w:spacing w:val="-4"/>
          <w:position w:val="1"/>
        </w:rPr>
        <w:t>2</w:t>
      </w:r>
      <w:r>
        <w:rPr>
          <w:spacing w:val="4"/>
          <w:position w:val="1"/>
        </w:rPr>
        <w:t xml:space="preserve"> </w:t>
      </w:r>
      <w:r>
        <w:rPr>
          <w:spacing w:val="-4"/>
          <w:position w:val="1"/>
        </w:rPr>
        <w:t>e</w:t>
      </w:r>
      <w:r>
        <w:rPr>
          <w:spacing w:val="4"/>
          <w:position w:val="1"/>
        </w:rPr>
        <w:t xml:space="preserve"> </w:t>
      </w:r>
      <w:r>
        <w:rPr>
          <w:spacing w:val="-4"/>
          <w:position w:val="1"/>
        </w:rPr>
        <w:t>3,</w:t>
      </w:r>
      <w:r>
        <w:rPr>
          <w:spacing w:val="-5"/>
          <w:position w:val="1"/>
        </w:rPr>
        <w:t xml:space="preserve"> </w:t>
      </w:r>
      <w:r>
        <w:rPr>
          <w:spacing w:val="-4"/>
          <w:position w:val="1"/>
        </w:rPr>
        <w:t>respectivamente. O</w:t>
      </w:r>
      <w:r>
        <w:rPr>
          <w:spacing w:val="-6"/>
          <w:position w:val="1"/>
        </w:rPr>
        <w:t xml:space="preserve"> </w:t>
      </w:r>
      <w:r>
        <w:rPr>
          <w:spacing w:val="-4"/>
          <w:position w:val="1"/>
        </w:rPr>
        <w:t>processo</w:t>
      </w:r>
      <w:r>
        <w:rPr>
          <w:spacing w:val="-5"/>
          <w:position w:val="1"/>
        </w:rPr>
        <w:t xml:space="preserve"> </w:t>
      </w:r>
      <w:r>
        <w:rPr>
          <w:spacing w:val="-4"/>
          <w:position w:val="1"/>
        </w:rPr>
        <w:t>anammox foi</w:t>
      </w:r>
      <w:r>
        <w:rPr>
          <w:spacing w:val="-6"/>
          <w:position w:val="1"/>
        </w:rPr>
        <w:t xml:space="preserve"> </w:t>
      </w:r>
      <w:r>
        <w:rPr>
          <w:spacing w:val="-4"/>
          <w:position w:val="1"/>
        </w:rPr>
        <w:t>observado</w:t>
      </w:r>
      <w:r>
        <w:rPr>
          <w:spacing w:val="-5"/>
          <w:position w:val="1"/>
        </w:rPr>
        <w:t xml:space="preserve"> </w:t>
      </w:r>
      <w:r>
        <w:rPr>
          <w:spacing w:val="-4"/>
          <w:position w:val="1"/>
        </w:rPr>
        <w:t>em</w:t>
      </w:r>
      <w:r>
        <w:rPr>
          <w:spacing w:val="-6"/>
          <w:position w:val="1"/>
        </w:rPr>
        <w:t xml:space="preserve"> </w:t>
      </w:r>
      <w:r>
        <w:rPr>
          <w:spacing w:val="-4"/>
          <w:position w:val="1"/>
        </w:rPr>
        <w:t>ambos os</w:t>
      </w:r>
      <w:r>
        <w:rPr>
          <w:spacing w:val="-5"/>
          <w:position w:val="1"/>
        </w:rPr>
        <w:t xml:space="preserve"> </w:t>
      </w:r>
      <w:r>
        <w:rPr>
          <w:spacing w:val="-4"/>
          <w:position w:val="1"/>
        </w:rPr>
        <w:t>reatores.</w:t>
      </w:r>
    </w:p>
    <w:p w14:paraId="76FA5253" w14:textId="77777777" w:rsidR="00957D69" w:rsidRDefault="00D14AFB">
      <w:pPr>
        <w:pStyle w:val="Corpodetexto"/>
        <w:spacing w:before="5"/>
        <w:ind w:left="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88352" behindDoc="1" locked="0" layoutInCell="1" allowOverlap="1" wp14:anchorId="77439A06" wp14:editId="7778D5D5">
            <wp:simplePos x="0" y="0"/>
            <wp:positionH relativeFrom="page">
              <wp:posOffset>2195057</wp:posOffset>
            </wp:positionH>
            <wp:positionV relativeFrom="paragraph">
              <wp:posOffset>157391</wp:posOffset>
            </wp:positionV>
            <wp:extent cx="3169977" cy="4167949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77" cy="416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53A80" w14:textId="77777777" w:rsidR="00957D69" w:rsidRDefault="00D14AFB">
      <w:pPr>
        <w:spacing w:before="5"/>
        <w:ind w:left="105" w:right="106"/>
        <w:jc w:val="center"/>
        <w:rPr>
          <w:b/>
          <w:position w:val="1"/>
          <w:sz w:val="20"/>
        </w:rPr>
      </w:pPr>
      <w:r>
        <w:rPr>
          <w:b/>
          <w:position w:val="1"/>
          <w:sz w:val="20"/>
        </w:rPr>
        <w:t>Figura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1: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Parte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dos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resultados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obtidos</w:t>
      </w:r>
      <w:r>
        <w:rPr>
          <w:b/>
          <w:spacing w:val="-3"/>
          <w:position w:val="1"/>
          <w:sz w:val="20"/>
        </w:rPr>
        <w:t xml:space="preserve"> </w:t>
      </w:r>
      <w:r>
        <w:rPr>
          <w:b/>
          <w:position w:val="1"/>
          <w:sz w:val="20"/>
        </w:rPr>
        <w:t>com</w:t>
      </w:r>
      <w:r>
        <w:rPr>
          <w:b/>
          <w:spacing w:val="-3"/>
          <w:position w:val="1"/>
          <w:sz w:val="20"/>
        </w:rPr>
        <w:t xml:space="preserve"> </w:t>
      </w:r>
      <w:r>
        <w:rPr>
          <w:b/>
          <w:position w:val="1"/>
          <w:sz w:val="20"/>
        </w:rPr>
        <w:t>o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monitoramento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do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reator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R</w:t>
      </w:r>
      <w:r>
        <w:rPr>
          <w:b/>
          <w:sz w:val="13"/>
        </w:rPr>
        <w:t>1.</w:t>
      </w:r>
      <w:r>
        <w:rPr>
          <w:b/>
          <w:spacing w:val="-1"/>
          <w:sz w:val="13"/>
        </w:rPr>
        <w:t xml:space="preserve"> </w:t>
      </w:r>
      <w:r>
        <w:rPr>
          <w:b/>
          <w:position w:val="1"/>
          <w:sz w:val="20"/>
        </w:rPr>
        <w:t>A</w:t>
      </w:r>
      <w:r>
        <w:rPr>
          <w:b/>
          <w:spacing w:val="-3"/>
          <w:position w:val="1"/>
          <w:sz w:val="20"/>
        </w:rPr>
        <w:t xml:space="preserve"> </w:t>
      </w:r>
      <w:r>
        <w:rPr>
          <w:b/>
          <w:position w:val="1"/>
          <w:sz w:val="20"/>
        </w:rPr>
        <w:t>seta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indica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o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dia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em</w:t>
      </w:r>
      <w:r>
        <w:rPr>
          <w:b/>
          <w:spacing w:val="-3"/>
          <w:position w:val="1"/>
          <w:sz w:val="20"/>
        </w:rPr>
        <w:t xml:space="preserve"> </w:t>
      </w:r>
      <w:r>
        <w:rPr>
          <w:b/>
          <w:position w:val="1"/>
          <w:sz w:val="20"/>
        </w:rPr>
        <w:t>que</w:t>
      </w:r>
      <w:r>
        <w:rPr>
          <w:b/>
          <w:spacing w:val="-2"/>
          <w:position w:val="1"/>
          <w:sz w:val="20"/>
        </w:rPr>
        <w:t xml:space="preserve"> </w:t>
      </w:r>
      <w:r>
        <w:rPr>
          <w:b/>
          <w:position w:val="1"/>
          <w:sz w:val="20"/>
        </w:rPr>
        <w:t>foi feita a transferência de parte da biomassa granular anammox do reator R</w:t>
      </w:r>
      <w:r>
        <w:rPr>
          <w:b/>
          <w:sz w:val="13"/>
        </w:rPr>
        <w:t>1</w:t>
      </w:r>
      <w:r>
        <w:rPr>
          <w:b/>
          <w:spacing w:val="27"/>
          <w:sz w:val="13"/>
        </w:rPr>
        <w:t xml:space="preserve"> </w:t>
      </w:r>
      <w:r>
        <w:rPr>
          <w:b/>
          <w:position w:val="1"/>
          <w:sz w:val="20"/>
        </w:rPr>
        <w:t>para o reator R</w:t>
      </w:r>
      <w:r>
        <w:rPr>
          <w:b/>
          <w:sz w:val="13"/>
        </w:rPr>
        <w:t>2</w:t>
      </w:r>
      <w:r>
        <w:rPr>
          <w:b/>
          <w:position w:val="1"/>
          <w:sz w:val="20"/>
        </w:rPr>
        <w:t>.</w:t>
      </w:r>
    </w:p>
    <w:p w14:paraId="2112468D" w14:textId="77777777" w:rsidR="00957D69" w:rsidRDefault="00D14AFB">
      <w:pPr>
        <w:ind w:left="266" w:right="266"/>
        <w:jc w:val="center"/>
        <w:rPr>
          <w:b/>
          <w:sz w:val="20"/>
        </w:rPr>
      </w:pPr>
      <w:r>
        <w:rPr>
          <w:b/>
          <w:sz w:val="20"/>
        </w:rPr>
        <w:t>Concentrações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(A)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N-amônio,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(B)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N-nitrito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(C)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N-nitrato;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(D)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relações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estequiométricas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relação a Strous et al. (1998); (E) medidas de pH; e (F) carga nitrogenada volumétrica aplicada (CNVA), removida (CNVR) e eficiência de remoção de nitrogênio total (ERN).</w:t>
      </w:r>
    </w:p>
    <w:p w14:paraId="5529410D" w14:textId="77777777" w:rsidR="00957D69" w:rsidRDefault="00957D69">
      <w:pPr>
        <w:jc w:val="center"/>
        <w:rPr>
          <w:b/>
          <w:sz w:val="20"/>
        </w:rPr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2AB1618C" w14:textId="77777777" w:rsidR="00957D69" w:rsidRDefault="00957D69">
      <w:pPr>
        <w:pStyle w:val="Corpodetexto"/>
        <w:spacing w:before="11"/>
        <w:ind w:left="0"/>
        <w:rPr>
          <w:b/>
          <w:sz w:val="9"/>
        </w:rPr>
      </w:pPr>
    </w:p>
    <w:p w14:paraId="71F7F8D2" w14:textId="77777777" w:rsidR="00957D69" w:rsidRDefault="00D14AFB">
      <w:pPr>
        <w:pStyle w:val="Corpodetexto"/>
        <w:ind w:left="1718"/>
      </w:pPr>
      <w:r>
        <w:rPr>
          <w:noProof/>
        </w:rPr>
        <w:drawing>
          <wp:inline distT="0" distB="0" distL="0" distR="0" wp14:anchorId="71B03DBE" wp14:editId="113D9B7C">
            <wp:extent cx="3775366" cy="502291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366" cy="50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7CA2" w14:textId="77777777" w:rsidR="00957D69" w:rsidRDefault="00D14AFB">
      <w:pPr>
        <w:ind w:left="294"/>
        <w:rPr>
          <w:b/>
          <w:sz w:val="20"/>
        </w:rPr>
      </w:pPr>
      <w:r>
        <w:rPr>
          <w:b/>
          <w:sz w:val="20"/>
        </w:rPr>
        <w:t>Figura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2: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Monitoramento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reator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R2,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estágios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apresentando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temperatura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concentrações</w:t>
      </w:r>
      <w:r>
        <w:rPr>
          <w:b/>
          <w:spacing w:val="-5"/>
          <w:sz w:val="20"/>
        </w:rPr>
        <w:t xml:space="preserve"> de</w:t>
      </w:r>
    </w:p>
    <w:p w14:paraId="26E745DE" w14:textId="77777777" w:rsidR="00957D69" w:rsidRDefault="00D14AFB">
      <w:pPr>
        <w:ind w:left="594" w:hanging="108"/>
        <w:rPr>
          <w:b/>
          <w:sz w:val="20"/>
        </w:rPr>
      </w:pPr>
      <w:r>
        <w:rPr>
          <w:b/>
          <w:sz w:val="20"/>
        </w:rPr>
        <w:t>(A)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N-amônio,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(B)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N-nitrito,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(C)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N-nitrato;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(D)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relações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estequiométricas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relação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Strous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al. (1998). Strous et al. (1998); (E) temperatura e pH; e (F) carga nitrogenada volumétrica aplicada</w:t>
      </w:r>
    </w:p>
    <w:p w14:paraId="11702886" w14:textId="77777777" w:rsidR="00957D69" w:rsidRDefault="00D14AFB">
      <w:pPr>
        <w:ind w:left="1338"/>
        <w:rPr>
          <w:b/>
          <w:sz w:val="20"/>
        </w:rPr>
      </w:pPr>
      <w:r>
        <w:rPr>
          <w:b/>
          <w:sz w:val="20"/>
        </w:rPr>
        <w:t>(CNVA),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removida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(CNVR)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eficiência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remoção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nitrogênio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(ERN).</w:t>
      </w:r>
    </w:p>
    <w:p w14:paraId="16CF4C1D" w14:textId="77777777" w:rsidR="00957D69" w:rsidRDefault="00D14AFB">
      <w:pPr>
        <w:pStyle w:val="Corpodetexto"/>
        <w:spacing w:before="201"/>
        <w:ind w:right="229"/>
        <w:jc w:val="both"/>
        <w:rPr>
          <w:position w:val="1"/>
        </w:rPr>
      </w:pPr>
      <w:r>
        <w:t>Para reduzir a concentração de nitrogênio, bem com manter elevada CNVA superior a 1,0 kgN/m</w:t>
      </w:r>
      <w:r>
        <w:rPr>
          <w:vertAlign w:val="superscript"/>
        </w:rPr>
        <w:t>3</w:t>
      </w:r>
      <w:r>
        <w:t xml:space="preserve">.d reduziu- </w:t>
      </w:r>
      <w:r>
        <w:rPr>
          <w:position w:val="1"/>
        </w:rPr>
        <w:t>se o tempo de detenção hidráulico (TDH) no reator R</w:t>
      </w:r>
      <w:r>
        <w:rPr>
          <w:sz w:val="13"/>
        </w:rPr>
        <w:t>2</w:t>
      </w:r>
      <w:r>
        <w:rPr>
          <w:spacing w:val="38"/>
          <w:sz w:val="13"/>
        </w:rPr>
        <w:t xml:space="preserve"> </w:t>
      </w:r>
      <w:r>
        <w:rPr>
          <w:position w:val="1"/>
        </w:rPr>
        <w:t xml:space="preserve">de 4 para 1 h (Tabela 1). Em 65 dias, a redução da </w:t>
      </w:r>
      <w:r>
        <w:t xml:space="preserve">concentração de nitrogênio se deu de 232 para 50 mgN/L (estágios 1 a 5) e da temperatura de 37 para 25°C </w:t>
      </w:r>
      <w:r>
        <w:rPr>
          <w:position w:val="1"/>
        </w:rPr>
        <w:t>(estágios 6 e 7) (Figura 3</w:t>
      </w:r>
      <w:r>
        <w:rPr>
          <w:sz w:val="13"/>
        </w:rPr>
        <w:t>AB</w:t>
      </w:r>
      <w:r>
        <w:rPr>
          <w:position w:val="1"/>
        </w:rPr>
        <w:t>), elevada ERN foi mantida em 87,3 ± 4,8%.</w:t>
      </w:r>
    </w:p>
    <w:p w14:paraId="29A7A730" w14:textId="77777777" w:rsidR="00957D69" w:rsidRDefault="00957D69">
      <w:pPr>
        <w:pStyle w:val="Corpodetexto"/>
        <w:spacing w:before="6"/>
        <w:ind w:left="0"/>
      </w:pPr>
    </w:p>
    <w:p w14:paraId="1FC5AE30" w14:textId="77777777" w:rsidR="00957D69" w:rsidRDefault="00D14AFB">
      <w:pPr>
        <w:pStyle w:val="Corpodetexto"/>
        <w:spacing w:line="235" w:lineRule="auto"/>
        <w:ind w:right="230"/>
        <w:jc w:val="both"/>
      </w:pPr>
      <w:r>
        <w:rPr>
          <w:position w:val="1"/>
        </w:rPr>
        <w:t>Os estágios 1-7, aplicados ao reator R</w:t>
      </w:r>
      <w:r>
        <w:rPr>
          <w:sz w:val="13"/>
        </w:rPr>
        <w:t>2</w:t>
      </w:r>
      <w:r>
        <w:rPr>
          <w:position w:val="1"/>
        </w:rPr>
        <w:t>, foram reproduzidos em um curto espaço de tempo (Figura 3).</w:t>
      </w:r>
      <w:r>
        <w:rPr>
          <w:spacing w:val="40"/>
          <w:position w:val="1"/>
        </w:rPr>
        <w:t xml:space="preserve"> </w:t>
      </w:r>
      <w:r>
        <w:t>Contudo, ao menos 35 TDHs foram aplicadas a cada estágio (Figura 4).</w:t>
      </w:r>
    </w:p>
    <w:p w14:paraId="7DB8216E" w14:textId="77777777" w:rsidR="00957D69" w:rsidRDefault="00D14AFB">
      <w:pPr>
        <w:pStyle w:val="Corpodetexto"/>
        <w:spacing w:before="9"/>
        <w:ind w:left="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88864" behindDoc="1" locked="0" layoutInCell="1" allowOverlap="1" wp14:anchorId="0382A876" wp14:editId="46856420">
            <wp:simplePos x="0" y="0"/>
            <wp:positionH relativeFrom="page">
              <wp:posOffset>2592564</wp:posOffset>
            </wp:positionH>
            <wp:positionV relativeFrom="paragraph">
              <wp:posOffset>160122</wp:posOffset>
            </wp:positionV>
            <wp:extent cx="2373644" cy="118014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644" cy="1180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7696E" w14:textId="77777777" w:rsidR="00957D69" w:rsidRDefault="00D14AFB">
      <w:pPr>
        <w:spacing w:before="7" w:line="235" w:lineRule="auto"/>
        <w:ind w:left="2035" w:right="77" w:hanging="1801"/>
        <w:rPr>
          <w:b/>
          <w:position w:val="1"/>
          <w:sz w:val="20"/>
        </w:rPr>
      </w:pPr>
      <w:r>
        <w:rPr>
          <w:b/>
          <w:sz w:val="20"/>
        </w:rPr>
        <w:t>Figura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Tempo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detenção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hidráulico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(TDH)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quantidade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TDHs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relação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estágios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aplicados </w:t>
      </w:r>
      <w:r>
        <w:rPr>
          <w:b/>
          <w:position w:val="1"/>
          <w:sz w:val="20"/>
        </w:rPr>
        <w:t>para adaptação da biomassa granular anammox no reator R</w:t>
      </w:r>
      <w:r>
        <w:rPr>
          <w:b/>
          <w:sz w:val="13"/>
        </w:rPr>
        <w:t>2</w:t>
      </w:r>
      <w:r>
        <w:rPr>
          <w:b/>
          <w:position w:val="1"/>
          <w:sz w:val="20"/>
        </w:rPr>
        <w:t>.</w:t>
      </w:r>
    </w:p>
    <w:p w14:paraId="17C46D2A" w14:textId="77777777" w:rsidR="00957D69" w:rsidRDefault="00957D69">
      <w:pPr>
        <w:spacing w:line="235" w:lineRule="auto"/>
        <w:rPr>
          <w:b/>
          <w:position w:val="1"/>
          <w:sz w:val="20"/>
        </w:rPr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659CB3AE" w14:textId="77777777" w:rsidR="00957D69" w:rsidRDefault="00D14AFB">
      <w:pPr>
        <w:pStyle w:val="Corpodetexto"/>
        <w:spacing w:before="142"/>
        <w:jc w:val="both"/>
        <w:rPr>
          <w:position w:val="1"/>
        </w:rPr>
      </w:pPr>
      <w:r>
        <w:rPr>
          <w:spacing w:val="-4"/>
          <w:position w:val="1"/>
        </w:rPr>
        <w:lastRenderedPageBreak/>
        <w:t>A</w:t>
      </w:r>
      <w:r>
        <w:rPr>
          <w:spacing w:val="-10"/>
          <w:position w:val="1"/>
        </w:rPr>
        <w:t xml:space="preserve"> </w:t>
      </w:r>
      <w:r>
        <w:rPr>
          <w:spacing w:val="-4"/>
          <w:position w:val="1"/>
        </w:rPr>
        <w:t>operação</w:t>
      </w:r>
      <w:r>
        <w:rPr>
          <w:spacing w:val="-10"/>
          <w:position w:val="1"/>
        </w:rPr>
        <w:t xml:space="preserve"> </w:t>
      </w:r>
      <w:r>
        <w:rPr>
          <w:spacing w:val="-4"/>
          <w:position w:val="1"/>
        </w:rPr>
        <w:t>do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reator</w:t>
      </w:r>
      <w:r>
        <w:rPr>
          <w:spacing w:val="-8"/>
          <w:position w:val="1"/>
        </w:rPr>
        <w:t xml:space="preserve"> </w:t>
      </w:r>
      <w:r>
        <w:rPr>
          <w:spacing w:val="-4"/>
          <w:position w:val="1"/>
        </w:rPr>
        <w:t>R</w:t>
      </w:r>
      <w:r>
        <w:rPr>
          <w:spacing w:val="-4"/>
          <w:sz w:val="13"/>
        </w:rPr>
        <w:t>3</w:t>
      </w:r>
      <w:r>
        <w:rPr>
          <w:spacing w:val="-4"/>
          <w:position w:val="1"/>
        </w:rPr>
        <w:t>,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visando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a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nitritação</w:t>
      </w:r>
      <w:r>
        <w:rPr>
          <w:spacing w:val="-8"/>
          <w:position w:val="1"/>
        </w:rPr>
        <w:t xml:space="preserve"> </w:t>
      </w:r>
      <w:r>
        <w:rPr>
          <w:spacing w:val="-4"/>
          <w:position w:val="1"/>
        </w:rPr>
        <w:t>parcial-anammox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(PNA),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gerou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os</w:t>
      </w:r>
      <w:r>
        <w:rPr>
          <w:spacing w:val="-8"/>
          <w:position w:val="1"/>
        </w:rPr>
        <w:t xml:space="preserve"> </w:t>
      </w:r>
      <w:r>
        <w:rPr>
          <w:spacing w:val="-4"/>
          <w:position w:val="1"/>
        </w:rPr>
        <w:t>resultados</w:t>
      </w:r>
      <w:r>
        <w:rPr>
          <w:spacing w:val="-10"/>
          <w:position w:val="1"/>
        </w:rPr>
        <w:t xml:space="preserve"> </w:t>
      </w:r>
      <w:r>
        <w:rPr>
          <w:spacing w:val="-4"/>
          <w:position w:val="1"/>
        </w:rPr>
        <w:t>exibidos</w:t>
      </w:r>
      <w:r>
        <w:rPr>
          <w:spacing w:val="-9"/>
          <w:position w:val="1"/>
        </w:rPr>
        <w:t xml:space="preserve"> </w:t>
      </w:r>
      <w:r>
        <w:rPr>
          <w:spacing w:val="-4"/>
          <w:position w:val="1"/>
        </w:rPr>
        <w:t>na Figura</w:t>
      </w:r>
      <w:r>
        <w:rPr>
          <w:spacing w:val="-1"/>
          <w:position w:val="1"/>
        </w:rPr>
        <w:t xml:space="preserve"> </w:t>
      </w:r>
      <w:r>
        <w:rPr>
          <w:spacing w:val="-5"/>
          <w:position w:val="1"/>
        </w:rPr>
        <w:t>5.</w:t>
      </w:r>
    </w:p>
    <w:p w14:paraId="47A608BB" w14:textId="77777777" w:rsidR="00957D69" w:rsidRDefault="00D14AFB">
      <w:pPr>
        <w:pStyle w:val="Corpodetexto"/>
        <w:spacing w:before="6"/>
        <w:ind w:left="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89376" behindDoc="1" locked="0" layoutInCell="1" allowOverlap="1" wp14:anchorId="065EEE61" wp14:editId="02EBAF0C">
            <wp:simplePos x="0" y="0"/>
            <wp:positionH relativeFrom="page">
              <wp:posOffset>2000111</wp:posOffset>
            </wp:positionH>
            <wp:positionV relativeFrom="paragraph">
              <wp:posOffset>157797</wp:posOffset>
            </wp:positionV>
            <wp:extent cx="3574567" cy="5022913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567" cy="502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9C4B3" w14:textId="77777777" w:rsidR="00957D69" w:rsidRDefault="00D14AFB">
      <w:pPr>
        <w:ind w:left="268" w:right="267" w:firstLine="3"/>
        <w:jc w:val="center"/>
        <w:rPr>
          <w:b/>
          <w:sz w:val="20"/>
        </w:rPr>
      </w:pPr>
      <w:r>
        <w:rPr>
          <w:b/>
          <w:spacing w:val="-2"/>
          <w:position w:val="1"/>
          <w:sz w:val="20"/>
        </w:rPr>
        <w:t>Figura 4: Resultados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obtidos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com</w:t>
      </w:r>
      <w:r>
        <w:rPr>
          <w:b/>
          <w:spacing w:val="-6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o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monitoramento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do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reator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R</w:t>
      </w:r>
      <w:r>
        <w:rPr>
          <w:b/>
          <w:spacing w:val="-2"/>
          <w:sz w:val="13"/>
        </w:rPr>
        <w:t>3</w:t>
      </w:r>
      <w:r>
        <w:rPr>
          <w:b/>
          <w:spacing w:val="-2"/>
          <w:position w:val="1"/>
          <w:sz w:val="20"/>
        </w:rPr>
        <w:t>.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Concentrações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de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(A)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N-amônio,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>(B)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spacing w:val="-2"/>
          <w:position w:val="1"/>
          <w:sz w:val="20"/>
        </w:rPr>
        <w:t xml:space="preserve">N- </w:t>
      </w:r>
      <w:r>
        <w:rPr>
          <w:b/>
          <w:spacing w:val="-2"/>
          <w:sz w:val="20"/>
        </w:rPr>
        <w:t>nitrito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e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(C)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N-nitrato;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(D)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pH;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(E)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coeficientes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estequiométricos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comparados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a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Strous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et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al.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(1998).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 xml:space="preserve">Sliekers </w:t>
      </w:r>
      <w:r>
        <w:rPr>
          <w:b/>
          <w:sz w:val="20"/>
        </w:rPr>
        <w:t>et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(2002)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Sliekers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(2002);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(F)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carga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nitrogenada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volumétrica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aplicada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(CNVA),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removida (CNVR)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eficiência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remoção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nitrogênio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(ERN).</w:t>
      </w:r>
    </w:p>
    <w:p w14:paraId="7BDBC973" w14:textId="77777777" w:rsidR="00417C7D" w:rsidRDefault="00417C7D" w:rsidP="00CA7839">
      <w:pPr>
        <w:pStyle w:val="Corpodetexto"/>
        <w:spacing w:line="235" w:lineRule="auto"/>
        <w:ind w:right="229"/>
        <w:jc w:val="both"/>
        <w:rPr>
          <w:position w:val="1"/>
        </w:rPr>
      </w:pPr>
    </w:p>
    <w:p w14:paraId="34129FD2" w14:textId="3038532E" w:rsidR="00957D69" w:rsidRDefault="00D14AFB" w:rsidP="00CA7839">
      <w:pPr>
        <w:pStyle w:val="Corpodetexto"/>
        <w:spacing w:line="235" w:lineRule="auto"/>
        <w:ind w:right="229"/>
        <w:jc w:val="both"/>
        <w:rPr>
          <w:position w:val="8"/>
          <w:sz w:val="13"/>
        </w:rPr>
      </w:pPr>
      <w:r>
        <w:rPr>
          <w:position w:val="1"/>
        </w:rPr>
        <w:t>Nos resultados apresentados com a operação do reator R</w:t>
      </w:r>
      <w:r>
        <w:rPr>
          <w:sz w:val="13"/>
        </w:rPr>
        <w:t xml:space="preserve">1 </w:t>
      </w:r>
      <w:r>
        <w:rPr>
          <w:position w:val="1"/>
        </w:rPr>
        <w:t>(Figura 2), a estabilidade do processo Anammox ocorreu entre os dias 494 e 641. As relações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nitrito/amônio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>) de 1,38 ±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0,17 e nitrato/amônio (NO</w:t>
      </w:r>
      <w:r>
        <w:rPr>
          <w:sz w:val="13"/>
        </w:rPr>
        <w:t>3</w:t>
      </w:r>
      <w:r>
        <w:rPr>
          <w:position w:val="8"/>
          <w:sz w:val="13"/>
        </w:rPr>
        <w:t>-</w:t>
      </w:r>
    </w:p>
    <w:p w14:paraId="4989FA27" w14:textId="4B69ED63" w:rsidR="00957D69" w:rsidRDefault="00D14AFB" w:rsidP="00CA7839">
      <w:pPr>
        <w:pStyle w:val="Corpodetexto"/>
        <w:ind w:right="229"/>
        <w:jc w:val="both"/>
        <w:rPr>
          <w:position w:val="1"/>
        </w:rPr>
      </w:pP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 xml:space="preserve">) de 0,22 ± 0,16, foram próximas às relações estequiométricas do processo Anammox definidas em </w:t>
      </w:r>
      <w:r>
        <w:t>Strous et al. (1998), sendo de 1,32 e 0,26, respectivamente. Além disso, neste período, elevada eficiência de remoção de nitrogênio total (ERN) foi obtida (89,3 ± 3,5%). A média dos valores de pH afluente e efluente foram de 7,23 ± 0,22% e 7,86 ± 0,37%, respectivamente. Tais valores estão próximos à faixa ótima de pH, entre 7,2 e 7,6 (CARVAJAL-ARROYO et al., 2014). O ligeiro aumento de 0,5 unidade de pH corresponde à reação anammox (STROUS et al., 1998). A constância nos valores de pH aqui praticados preveniu a inibição do processo Anammox (</w:t>
      </w:r>
      <w:r w:rsidR="00E0627B" w:rsidRPr="005E4AAC">
        <w:rPr>
          <w:highlight w:val="yellow"/>
        </w:rPr>
        <w:t>TOMASZEWSKI,</w:t>
      </w:r>
      <w:r w:rsidR="00E0627B" w:rsidRPr="005E4AAC">
        <w:rPr>
          <w:spacing w:val="-1"/>
          <w:highlight w:val="yellow"/>
        </w:rPr>
        <w:t xml:space="preserve"> </w:t>
      </w:r>
      <w:r w:rsidR="00E0627B" w:rsidRPr="005E4AAC">
        <w:rPr>
          <w:highlight w:val="yellow"/>
        </w:rPr>
        <w:t>CEMA</w:t>
      </w:r>
      <w:r w:rsidR="00E0627B" w:rsidRPr="005E4AAC">
        <w:rPr>
          <w:spacing w:val="-2"/>
          <w:highlight w:val="yellow"/>
        </w:rPr>
        <w:t xml:space="preserve"> </w:t>
      </w:r>
      <w:r w:rsidR="009B1E13">
        <w:rPr>
          <w:highlight w:val="yellow"/>
        </w:rPr>
        <w:t>e</w:t>
      </w:r>
      <w:r w:rsidR="00E0627B" w:rsidRPr="005E4AAC">
        <w:rPr>
          <w:spacing w:val="-2"/>
          <w:highlight w:val="yellow"/>
        </w:rPr>
        <w:t xml:space="preserve"> </w:t>
      </w:r>
      <w:r w:rsidR="00E0627B" w:rsidRPr="005E4AAC">
        <w:rPr>
          <w:highlight w:val="yellow"/>
        </w:rPr>
        <w:t>ZIEMBIŃSKA-BUCZYŃSKA</w:t>
      </w:r>
      <w:r w:rsidR="009B1E13">
        <w:t>,</w:t>
      </w:r>
      <w:r w:rsidR="00E0627B">
        <w:t xml:space="preserve"> </w:t>
      </w:r>
      <w:r>
        <w:t xml:space="preserve">2017). No dia 607, parte da biomassa granular anammox, </w:t>
      </w:r>
      <w:r>
        <w:rPr>
          <w:position w:val="1"/>
        </w:rPr>
        <w:t>enriquecida no reator R</w:t>
      </w:r>
      <w:r>
        <w:rPr>
          <w:sz w:val="13"/>
        </w:rPr>
        <w:t>1</w:t>
      </w:r>
      <w:r>
        <w:rPr>
          <w:position w:val="1"/>
        </w:rPr>
        <w:t>, foi inoculada no reator R</w:t>
      </w:r>
      <w:r>
        <w:rPr>
          <w:sz w:val="13"/>
        </w:rPr>
        <w:t>2</w:t>
      </w:r>
      <w:r>
        <w:rPr>
          <w:spacing w:val="40"/>
          <w:sz w:val="13"/>
        </w:rPr>
        <w:t xml:space="preserve"> </w:t>
      </w:r>
      <w:r>
        <w:rPr>
          <w:position w:val="1"/>
        </w:rPr>
        <w:t xml:space="preserve">(seta indicada na Figura 2) realizando-se o </w:t>
      </w:r>
      <w:r>
        <w:rPr>
          <w:i/>
          <w:position w:val="1"/>
        </w:rPr>
        <w:t xml:space="preserve">startup </w:t>
      </w:r>
      <w:r>
        <w:rPr>
          <w:position w:val="1"/>
        </w:rPr>
        <w:t>do reator R</w:t>
      </w:r>
      <w:r>
        <w:rPr>
          <w:sz w:val="13"/>
        </w:rPr>
        <w:t>2</w:t>
      </w:r>
      <w:r>
        <w:rPr>
          <w:spacing w:val="40"/>
          <w:sz w:val="13"/>
        </w:rPr>
        <w:t xml:space="preserve"> </w:t>
      </w:r>
      <w:r>
        <w:rPr>
          <w:position w:val="1"/>
        </w:rPr>
        <w:t>com 8,1 gSSV/L.</w:t>
      </w:r>
    </w:p>
    <w:p w14:paraId="23851092" w14:textId="77777777" w:rsidR="00AD1B2F" w:rsidRDefault="00AD1B2F" w:rsidP="00CA7839">
      <w:pPr>
        <w:pStyle w:val="Corpodetexto"/>
        <w:ind w:right="229"/>
        <w:jc w:val="both"/>
        <w:rPr>
          <w:position w:val="1"/>
        </w:rPr>
      </w:pPr>
    </w:p>
    <w:p w14:paraId="4D4E9338" w14:textId="77777777" w:rsidR="00957D69" w:rsidRDefault="00D14AFB" w:rsidP="00CA7839">
      <w:pPr>
        <w:pStyle w:val="Corpodetexto"/>
        <w:ind w:left="106" w:right="106"/>
        <w:jc w:val="center"/>
        <w:rPr>
          <w:position w:val="1"/>
        </w:rPr>
      </w:pPr>
      <w:r>
        <w:rPr>
          <w:position w:val="1"/>
        </w:rPr>
        <w:t>No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reator R</w:t>
      </w:r>
      <w:r>
        <w:rPr>
          <w:sz w:val="13"/>
        </w:rPr>
        <w:t>2</w:t>
      </w:r>
      <w:r>
        <w:rPr>
          <w:position w:val="1"/>
        </w:rPr>
        <w:t>, em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65 dias de operação, foi possível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promover as reduções da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concentração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nitrogênio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232 para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50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mgN/L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e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temperatura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37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para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25°C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(Figura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3</w:t>
      </w:r>
      <w:r>
        <w:rPr>
          <w:sz w:val="13"/>
        </w:rPr>
        <w:t>AB</w:t>
      </w:r>
      <w:r>
        <w:rPr>
          <w:position w:val="1"/>
        </w:rPr>
        <w:t>).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Estas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reduções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não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alteraram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ERN</w:t>
      </w:r>
      <w:r>
        <w:rPr>
          <w:spacing w:val="31"/>
          <w:position w:val="1"/>
        </w:rPr>
        <w:t xml:space="preserve"> </w:t>
      </w:r>
      <w:r>
        <w:rPr>
          <w:spacing w:val="-5"/>
          <w:position w:val="1"/>
        </w:rPr>
        <w:t>do</w:t>
      </w:r>
    </w:p>
    <w:p w14:paraId="5A729825" w14:textId="77777777" w:rsidR="00957D69" w:rsidRDefault="00957D69" w:rsidP="00CA7839">
      <w:pPr>
        <w:pStyle w:val="Corpodetexto"/>
        <w:jc w:val="center"/>
        <w:rPr>
          <w:position w:val="1"/>
        </w:rPr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7943A43F" w14:textId="77777777" w:rsidR="00957D69" w:rsidRDefault="00D14AFB" w:rsidP="00CA7839">
      <w:pPr>
        <w:pStyle w:val="Corpodetexto"/>
        <w:ind w:right="229"/>
        <w:jc w:val="both"/>
      </w:pPr>
      <w:r>
        <w:lastRenderedPageBreak/>
        <w:t xml:space="preserve">processo Anammox, que se manteve elevada neste período de adaptação (87,3 ± 4,8%). Os coeficientes </w:t>
      </w:r>
      <w:r>
        <w:rPr>
          <w:position w:val="1"/>
        </w:rPr>
        <w:t>estequiométricos obtidos neste período foram de 1,40 ± 0,16 para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35"/>
          <w:position w:val="8"/>
          <w:sz w:val="13"/>
        </w:rPr>
        <w:t xml:space="preserve"> </w:t>
      </w:r>
      <w:r>
        <w:rPr>
          <w:position w:val="1"/>
        </w:rPr>
        <w:t>e 0,25 ± 0,05 para NO</w:t>
      </w:r>
      <w:r>
        <w:rPr>
          <w:sz w:val="13"/>
        </w:rPr>
        <w:t>3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40"/>
          <w:position w:val="8"/>
          <w:sz w:val="13"/>
        </w:rPr>
        <w:t xml:space="preserve"> </w:t>
      </w:r>
      <w:r>
        <w:t xml:space="preserve">(Figura 3), ou seja, continuaram sendo semelhantes aos valores teóricos de 1,32 e 0,26, respectivamente </w:t>
      </w:r>
      <w:r>
        <w:rPr>
          <w:position w:val="1"/>
        </w:rPr>
        <w:t>(STROUS et al., 1998). A ERN de 87,3 ± 4,8% e a atividade específica anammox (µ</w:t>
      </w:r>
      <w:r>
        <w:rPr>
          <w:sz w:val="13"/>
        </w:rPr>
        <w:t>máx</w:t>
      </w:r>
      <w:r>
        <w:rPr>
          <w:position w:val="1"/>
        </w:rPr>
        <w:t>) de 125,4 ± 26,2 mgN/gSSV.d, obtidas na adaptação da biomassa granular anammox no reator R</w:t>
      </w:r>
      <w:r>
        <w:rPr>
          <w:sz w:val="13"/>
        </w:rPr>
        <w:t>2</w:t>
      </w:r>
      <w:r>
        <w:rPr>
          <w:position w:val="1"/>
        </w:rPr>
        <w:t>, foram comparados a outros trabalhos. Lotti et al. (2014) obtiveram resultados semelhantes de ERN e µ</w:t>
      </w:r>
      <w:r>
        <w:rPr>
          <w:sz w:val="13"/>
        </w:rPr>
        <w:t>máx</w:t>
      </w:r>
      <w:r>
        <w:rPr>
          <w:spacing w:val="37"/>
          <w:sz w:val="13"/>
        </w:rPr>
        <w:t xml:space="preserve"> </w:t>
      </w:r>
      <w:r>
        <w:rPr>
          <w:position w:val="1"/>
        </w:rPr>
        <w:t xml:space="preserve">para as temperaturas de 20 e </w:t>
      </w:r>
      <w:r>
        <w:t>15°C, mas não para 10°C, sendo de 85; 73; e 48-36%, e 150-130; 130-110; e 70 mgN/gSSV.d, respectivamente. Segundo os autores, o favorecimento de bactérias oxidadoras de nitrito (BON) pode ter ocorrido, pois a relação nitrato/amônio foi de 0,43, ou seja, acima do valor teórico de 0,26.</w:t>
      </w:r>
    </w:p>
    <w:p w14:paraId="12DB2CBE" w14:textId="77777777" w:rsidR="00CA7839" w:rsidRDefault="00CA7839" w:rsidP="00CA7839">
      <w:pPr>
        <w:pStyle w:val="Corpodetexto"/>
        <w:ind w:right="229"/>
        <w:jc w:val="both"/>
      </w:pPr>
    </w:p>
    <w:p w14:paraId="3300F8CD" w14:textId="77777777" w:rsidR="00957D69" w:rsidRDefault="00D14AFB" w:rsidP="00CA7839">
      <w:pPr>
        <w:pStyle w:val="Corpodetexto"/>
        <w:ind w:right="228"/>
        <w:jc w:val="both"/>
      </w:pPr>
      <w:r>
        <w:rPr>
          <w:position w:val="1"/>
        </w:rPr>
        <w:t>Em relação a CNVA, ambos os reatores R</w:t>
      </w:r>
      <w:r>
        <w:rPr>
          <w:sz w:val="13"/>
        </w:rPr>
        <w:t>1</w:t>
      </w:r>
      <w:r>
        <w:rPr>
          <w:spacing w:val="40"/>
          <w:sz w:val="13"/>
        </w:rPr>
        <w:t xml:space="preserve"> </w:t>
      </w:r>
      <w:r>
        <w:rPr>
          <w:position w:val="1"/>
        </w:rPr>
        <w:t>(operado a 37°C) e R</w:t>
      </w:r>
      <w:r>
        <w:rPr>
          <w:sz w:val="13"/>
        </w:rPr>
        <w:t>2</w:t>
      </w:r>
      <w:r>
        <w:rPr>
          <w:spacing w:val="40"/>
          <w:sz w:val="13"/>
        </w:rPr>
        <w:t xml:space="preserve"> </w:t>
      </w:r>
      <w:r>
        <w:rPr>
          <w:position w:val="1"/>
        </w:rPr>
        <w:t xml:space="preserve">(operado a 37; 30; e 25°C), puderam </w:t>
      </w:r>
      <w:r>
        <w:t>realizar, satisfatoriamente, o processo Anammox aplicando-se cargas similares de 1,44 ± 0,18</w:t>
      </w:r>
      <w:r>
        <w:rPr>
          <w:spacing w:val="40"/>
        </w:rPr>
        <w:t xml:space="preserve"> </w:t>
      </w:r>
      <w:r>
        <w:t>e 1,17 ± 0,24 kgN/m</w:t>
      </w:r>
      <w:r>
        <w:rPr>
          <w:vertAlign w:val="superscript"/>
        </w:rPr>
        <w:t>3</w:t>
      </w:r>
      <w:r>
        <w:t>.d,</w:t>
      </w:r>
      <w:r>
        <w:rPr>
          <w:spacing w:val="-2"/>
        </w:rPr>
        <w:t xml:space="preserve"> </w:t>
      </w:r>
      <w:r>
        <w:t>respectivamente.</w:t>
      </w:r>
      <w:r>
        <w:rPr>
          <w:spacing w:val="-2"/>
        </w:rPr>
        <w:t xml:space="preserve"> </w:t>
      </w:r>
      <w:r>
        <w:t>Cheng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(2020)</w:t>
      </w:r>
      <w:r>
        <w:rPr>
          <w:spacing w:val="-2"/>
        </w:rPr>
        <w:t xml:space="preserve"> </w:t>
      </w:r>
      <w:r>
        <w:t>destacaram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importância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reduzir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temperatura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 gradual. Eles observaram que a capacidade de remoção de nitrogênio foi praticamente o dobro quando houve adaptação gradual de 35, para 25 e finalmente para 15°C (7,0 kgN/m.d), em relação à alteração brusca da temperatura de 35 para 15°C (3,6 kgN/m</w:t>
      </w:r>
      <w:r>
        <w:rPr>
          <w:vertAlign w:val="superscript"/>
        </w:rPr>
        <w:t>3</w:t>
      </w:r>
      <w:r>
        <w:t>.d).</w:t>
      </w:r>
    </w:p>
    <w:p w14:paraId="4755AA50" w14:textId="77777777" w:rsidR="00957D69" w:rsidRDefault="00957D69">
      <w:pPr>
        <w:pStyle w:val="Corpodetexto"/>
        <w:spacing w:before="4"/>
        <w:ind w:left="0"/>
      </w:pPr>
    </w:p>
    <w:p w14:paraId="3C7390BC" w14:textId="77777777" w:rsidR="00957D69" w:rsidRDefault="00D14AFB">
      <w:pPr>
        <w:pStyle w:val="Corpodetexto"/>
        <w:ind w:right="229"/>
        <w:jc w:val="both"/>
      </w:pPr>
      <w:r>
        <w:t>Em De Fernandes et al. (2018) a redução da temperatura (35→25→20°C) pouco prejudicou as eficiências de remoção conjunta de amônio e nitrito (96→96→90%). Apesar do estudo ter sido realizado com efluente de reatores UASB tratando esgoto sanitários, eles não relataram prejuízo ao lodo anammox.</w:t>
      </w:r>
    </w:p>
    <w:p w14:paraId="388455B0" w14:textId="77777777" w:rsidR="00957D69" w:rsidRDefault="00957D69">
      <w:pPr>
        <w:pStyle w:val="Corpodetexto"/>
        <w:spacing w:before="3"/>
        <w:ind w:left="0"/>
      </w:pPr>
    </w:p>
    <w:p w14:paraId="47D80F2A" w14:textId="77777777" w:rsidR="00957D69" w:rsidRDefault="00D14AFB" w:rsidP="00D14AFB">
      <w:pPr>
        <w:pStyle w:val="Corpodetexto"/>
        <w:spacing w:line="237" w:lineRule="auto"/>
        <w:ind w:left="232" w:right="228"/>
        <w:jc w:val="both"/>
      </w:pPr>
      <w:r>
        <w:rPr>
          <w:position w:val="1"/>
        </w:rPr>
        <w:t>Para o reator o reator R</w:t>
      </w:r>
      <w:r>
        <w:rPr>
          <w:sz w:val="13"/>
        </w:rPr>
        <w:t>3</w:t>
      </w:r>
      <w:r>
        <w:rPr>
          <w:position w:val="1"/>
        </w:rPr>
        <w:t xml:space="preserve">, entretanto, a eficiência de remoção de nitrogênio foi drasticamente reduzida (ERN &lt; </w:t>
      </w:r>
      <w:r>
        <w:t xml:space="preserve">10%). Não houve consumo de amônio, tampouco acúmulo de nitrito e nenhuma produção de nitrato (Figura </w:t>
      </w:r>
      <w:r>
        <w:rPr>
          <w:position w:val="1"/>
        </w:rPr>
        <w:t>5</w:t>
      </w:r>
      <w:r>
        <w:rPr>
          <w:sz w:val="13"/>
        </w:rPr>
        <w:t>ABC</w:t>
      </w:r>
      <w:r>
        <w:rPr>
          <w:position w:val="1"/>
        </w:rPr>
        <w:t xml:space="preserve">), ou seja, o processo Anammox foi interrompido ao longo dos primeiros 5 dias. Para evitar drástico </w:t>
      </w:r>
      <w:r>
        <w:t>decaimento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bactérias</w:t>
      </w:r>
      <w:r>
        <w:rPr>
          <w:spacing w:val="-1"/>
        </w:rPr>
        <w:t xml:space="preserve"> </w:t>
      </w:r>
      <w:r>
        <w:t>anammox</w:t>
      </w:r>
      <w:r>
        <w:rPr>
          <w:spacing w:val="-1"/>
        </w:rPr>
        <w:t xml:space="preserve"> </w:t>
      </w:r>
      <w:r>
        <w:t>(AMX),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dia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passou-se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efetuar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suplementação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nitrito.</w:t>
      </w:r>
      <w:r>
        <w:rPr>
          <w:spacing w:val="-1"/>
        </w:rPr>
        <w:t xml:space="preserve"> </w:t>
      </w:r>
      <w:r>
        <w:t xml:space="preserve">A aeração intermitente automatizada (AIA) continuou a ser praticada para avaliar se a aeração prejudicaria ou </w:t>
      </w:r>
      <w:r>
        <w:rPr>
          <w:position w:val="1"/>
        </w:rPr>
        <w:t>favoreceria a remoção de nitrogênio. A produção de nitrato voltou a ocorrer (Figura 5</w:t>
      </w:r>
      <w:r>
        <w:rPr>
          <w:sz w:val="13"/>
        </w:rPr>
        <w:t>C</w:t>
      </w:r>
      <w:r>
        <w:rPr>
          <w:position w:val="1"/>
        </w:rPr>
        <w:t>). A relação NO</w:t>
      </w:r>
      <w:r>
        <w:rPr>
          <w:sz w:val="13"/>
        </w:rPr>
        <w:t>3</w:t>
      </w:r>
      <w:r>
        <w:rPr>
          <w:position w:val="8"/>
          <w:sz w:val="13"/>
        </w:rPr>
        <w:t>-</w:t>
      </w:r>
      <w:r>
        <w:rPr>
          <w:position w:val="1"/>
        </w:rPr>
        <w:t>/NH4</w:t>
      </w:r>
      <w:r>
        <w:rPr>
          <w:position w:val="1"/>
          <w:vertAlign w:val="superscript"/>
        </w:rPr>
        <w:t>+</w:t>
      </w:r>
      <w:r>
        <w:rPr>
          <w:position w:val="1"/>
        </w:rPr>
        <w:t xml:space="preserve"> </w:t>
      </w:r>
      <w:r>
        <w:t xml:space="preserve">de 0,26 ± 0,04 voltou a ser condizente com a reação anammox descrita por Strous et al. (1998), ou seja, de </w:t>
      </w:r>
      <w:r>
        <w:rPr>
          <w:position w:val="1"/>
        </w:rPr>
        <w:t>0,26, mas acima dos valores teóricos do processo PNA descrito por Sliekers et al. (2002) de 0,11 (Figura 5</w:t>
      </w:r>
      <w:r>
        <w:rPr>
          <w:sz w:val="13"/>
        </w:rPr>
        <w:t>E</w:t>
      </w:r>
      <w:r>
        <w:rPr>
          <w:position w:val="1"/>
        </w:rPr>
        <w:t>). Além disso, a relação consumo de nitrito/produção de amônio 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position w:val="1"/>
        </w:rPr>
        <w:t>) somente voltou a ser próxima de 1,32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após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dia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15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(Figura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5</w:t>
      </w:r>
      <w:r>
        <w:rPr>
          <w:sz w:val="13"/>
        </w:rPr>
        <w:t>E</w:t>
      </w:r>
      <w:r>
        <w:rPr>
          <w:position w:val="1"/>
        </w:rPr>
        <w:t>)</w:t>
      </w:r>
      <w:r>
        <w:rPr>
          <w:sz w:val="13"/>
        </w:rPr>
        <w:t>,</w:t>
      </w:r>
      <w:r>
        <w:rPr>
          <w:spacing w:val="17"/>
          <w:sz w:val="13"/>
        </w:rPr>
        <w:t xml:space="preserve"> </w:t>
      </w:r>
      <w:r>
        <w:rPr>
          <w:position w:val="1"/>
        </w:rPr>
        <w:t>muito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provavelmente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devido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à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redução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17"/>
          <w:position w:val="8"/>
          <w:sz w:val="13"/>
        </w:rPr>
        <w:t xml:space="preserve"> </w:t>
      </w:r>
      <w:r>
        <w:rPr>
          <w:position w:val="1"/>
        </w:rPr>
        <w:t>afluente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(Figura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5</w:t>
      </w:r>
      <w:r>
        <w:rPr>
          <w:sz w:val="13"/>
        </w:rPr>
        <w:t>A</w:t>
      </w:r>
      <w:r>
        <w:rPr>
          <w:position w:val="1"/>
        </w:rPr>
        <w:t>),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não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pela produção de 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>via AIA.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 redução de pH, comum ao processo PNA, não foi detectada (Figura 5</w:t>
      </w:r>
      <w:r>
        <w:rPr>
          <w:sz w:val="13"/>
        </w:rPr>
        <w:t>D</w:t>
      </w:r>
      <w:r>
        <w:rPr>
          <w:position w:val="1"/>
        </w:rPr>
        <w:t xml:space="preserve">), ao </w:t>
      </w:r>
      <w:r>
        <w:t>contrário do reportado por Zhang et al. (2021). Apesar da aeração, o processo Anammox voltou a ocorrer com ajuste da alimentação de nitrito/amônia de 1,32.</w:t>
      </w:r>
    </w:p>
    <w:p w14:paraId="2FAFE32F" w14:textId="77777777" w:rsidR="00D14AFB" w:rsidRDefault="00D14AFB" w:rsidP="00D14AFB">
      <w:pPr>
        <w:pStyle w:val="Corpodetexto"/>
        <w:spacing w:line="237" w:lineRule="auto"/>
        <w:ind w:left="232" w:right="228"/>
        <w:jc w:val="both"/>
      </w:pPr>
    </w:p>
    <w:p w14:paraId="46CA8A03" w14:textId="77777777" w:rsidR="00957D69" w:rsidRDefault="00D14AFB" w:rsidP="00D14AFB">
      <w:pPr>
        <w:pStyle w:val="Corpodetexto"/>
        <w:spacing w:line="237" w:lineRule="auto"/>
        <w:ind w:left="232" w:right="230"/>
        <w:jc w:val="both"/>
        <w:rPr>
          <w:position w:val="8"/>
          <w:sz w:val="13"/>
        </w:rPr>
      </w:pPr>
      <w:r>
        <w:t>A baixa atividade de bactérias oxidadoras de amônia (BOA) parece ter sido o principal motivo para a dificuldade de produção de nitrito, ou seja, a ocorrência do processo de nitritação parcial (PN) não foi</w:t>
      </w:r>
      <w:r>
        <w:rPr>
          <w:spacing w:val="80"/>
        </w:rPr>
        <w:t xml:space="preserve"> </w:t>
      </w:r>
      <w:r>
        <w:t xml:space="preserve">possível, sendo um ponto negativo. Em contrapartida, não houve produção de nitrato, logo no início da </w:t>
      </w:r>
      <w:r>
        <w:rPr>
          <w:position w:val="1"/>
        </w:rPr>
        <w:t>operação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do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reator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R</w:t>
      </w:r>
      <w:r>
        <w:rPr>
          <w:sz w:val="13"/>
        </w:rPr>
        <w:t>3</w:t>
      </w:r>
      <w:r>
        <w:rPr>
          <w:spacing w:val="37"/>
          <w:sz w:val="13"/>
        </w:rPr>
        <w:t xml:space="preserve"> </w:t>
      </w:r>
      <w:r>
        <w:rPr>
          <w:position w:val="1"/>
        </w:rPr>
        <w:t>(Figura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5</w:t>
      </w:r>
      <w:r>
        <w:rPr>
          <w:sz w:val="13"/>
        </w:rPr>
        <w:t>C</w:t>
      </w:r>
      <w:r>
        <w:rPr>
          <w:position w:val="1"/>
        </w:rPr>
        <w:t>),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bem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como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não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houve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acúmulo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nitrato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acima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da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estequiometria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(NO</w:t>
      </w:r>
      <w:r>
        <w:rPr>
          <w:sz w:val="13"/>
        </w:rPr>
        <w:t>3</w:t>
      </w:r>
      <w:r>
        <w:rPr>
          <w:position w:val="8"/>
          <w:sz w:val="13"/>
        </w:rPr>
        <w:t>-</w:t>
      </w:r>
    </w:p>
    <w:p w14:paraId="631D6111" w14:textId="77777777" w:rsidR="00957D69" w:rsidRDefault="00D14AFB" w:rsidP="00D14AFB">
      <w:pPr>
        <w:pStyle w:val="Corpodetexto"/>
        <w:ind w:left="232" w:right="230"/>
        <w:jc w:val="both"/>
      </w:pP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40"/>
          <w:position w:val="8"/>
          <w:sz w:val="13"/>
        </w:rPr>
        <w:t xml:space="preserve"> </w:t>
      </w:r>
      <w:r>
        <w:rPr>
          <w:position w:val="1"/>
        </w:rPr>
        <w:t>de 0,26) (Figura 5</w:t>
      </w:r>
      <w:r>
        <w:rPr>
          <w:sz w:val="13"/>
        </w:rPr>
        <w:t>E</w:t>
      </w:r>
      <w:r>
        <w:rPr>
          <w:position w:val="1"/>
        </w:rPr>
        <w:t xml:space="preserve">), representando um ponto positivo ao uso da biomassa granular anammox, pois </w:t>
      </w:r>
      <w:r>
        <w:t>indicam baixa atividade de bactérias oxidadoras de nitrito (BON).</w:t>
      </w:r>
    </w:p>
    <w:p w14:paraId="7921AA0E" w14:textId="77777777" w:rsidR="00957D69" w:rsidRDefault="00957D69">
      <w:pPr>
        <w:pStyle w:val="Corpodetexto"/>
        <w:spacing w:before="1"/>
        <w:ind w:left="0"/>
      </w:pPr>
    </w:p>
    <w:p w14:paraId="1B85D5F9" w14:textId="77777777" w:rsidR="00957D69" w:rsidRDefault="00D14AFB">
      <w:pPr>
        <w:pStyle w:val="Corpodetexto"/>
        <w:ind w:right="227"/>
        <w:jc w:val="both"/>
      </w:pPr>
      <w:r>
        <w:t xml:space="preserve">Acredita-se que a redução drástica da atividade de BOA na biomassa granular anammox pode ter sido ocasionada (i) pela condução do processo Anammox por longos períodos em condições ótimas, como, por </w:t>
      </w:r>
      <w:r>
        <w:rPr>
          <w:position w:val="1"/>
        </w:rPr>
        <w:t>exemplo, na manutenção da temperatura de 37°C por 607 dias no reator R</w:t>
      </w:r>
      <w:r>
        <w:rPr>
          <w:sz w:val="13"/>
        </w:rPr>
        <w:t>1</w:t>
      </w:r>
      <w:r>
        <w:rPr>
          <w:spacing w:val="21"/>
          <w:sz w:val="13"/>
        </w:rPr>
        <w:t xml:space="preserve"> </w:t>
      </w:r>
      <w:r>
        <w:rPr>
          <w:position w:val="1"/>
        </w:rPr>
        <w:t>e por 50 dias nos estágios 1 a 5 no reator R</w:t>
      </w:r>
      <w:r>
        <w:rPr>
          <w:sz w:val="13"/>
        </w:rPr>
        <w:t>2</w:t>
      </w:r>
      <w:r>
        <w:rPr>
          <w:position w:val="1"/>
        </w:rPr>
        <w:t>; (ii) e pela não necessidade de aeração, devido à suplementação de nitrito (NO</w:t>
      </w:r>
      <w:r>
        <w:rPr>
          <w:sz w:val="13"/>
        </w:rPr>
        <w:t>2</w:t>
      </w:r>
      <w:r>
        <w:rPr>
          <w:position w:val="8"/>
          <w:sz w:val="13"/>
        </w:rPr>
        <w:t>-</w:t>
      </w:r>
      <w:r>
        <w:rPr>
          <w:position w:val="1"/>
        </w:rPr>
        <w:t>/NH</w:t>
      </w:r>
      <w:r>
        <w:rPr>
          <w:sz w:val="13"/>
        </w:rPr>
        <w:t>4</w:t>
      </w:r>
      <w:r>
        <w:rPr>
          <w:position w:val="8"/>
          <w:sz w:val="13"/>
        </w:rPr>
        <w:t>+</w:t>
      </w:r>
      <w:r>
        <w:rPr>
          <w:spacing w:val="30"/>
          <w:position w:val="8"/>
          <w:sz w:val="13"/>
        </w:rPr>
        <w:t xml:space="preserve"> </w:t>
      </w:r>
      <w:r>
        <w:rPr>
          <w:position w:val="1"/>
        </w:rPr>
        <w:t>de 1,32) por 687 dias no reator R</w:t>
      </w:r>
      <w:r>
        <w:rPr>
          <w:sz w:val="13"/>
        </w:rPr>
        <w:t>1</w:t>
      </w:r>
      <w:r>
        <w:rPr>
          <w:position w:val="1"/>
        </w:rPr>
        <w:t xml:space="preserve">. Desta forma, quando a AIA foi implementada, a PN não foi detectada. A dificuldade de </w:t>
      </w:r>
      <w:r>
        <w:t>se estabelecer a estabilidade do processo PNA é comumente relatada. Zhang et al. (2021), por exemplo, inocularam biomassa anammox e nitritante (razão 1:4) na temperatura de 30°C, e mesmo assim, só obtiveram</w:t>
      </w:r>
      <w:r>
        <w:rPr>
          <w:spacing w:val="40"/>
        </w:rPr>
        <w:t xml:space="preserve"> </w:t>
      </w:r>
      <w:r>
        <w:t xml:space="preserve">a estabilidade do processo PNA após 95 dias de realização do </w:t>
      </w:r>
      <w:r>
        <w:rPr>
          <w:i/>
        </w:rPr>
        <w:t>start-up</w:t>
      </w:r>
      <w:r>
        <w:t>.</w:t>
      </w:r>
    </w:p>
    <w:p w14:paraId="15074737" w14:textId="77777777" w:rsidR="00D14AFB" w:rsidRDefault="00D14AFB" w:rsidP="00D14AFB">
      <w:pPr>
        <w:pStyle w:val="Corpodetexto"/>
        <w:ind w:left="232" w:right="227"/>
        <w:jc w:val="both"/>
      </w:pPr>
    </w:p>
    <w:p w14:paraId="786E60BC" w14:textId="77777777" w:rsidR="00957D69" w:rsidRDefault="00D14AFB" w:rsidP="00D14AFB">
      <w:pPr>
        <w:pStyle w:val="Corpodetexto"/>
        <w:ind w:left="232" w:right="227"/>
        <w:jc w:val="both"/>
      </w:pPr>
      <w:r>
        <w:t xml:space="preserve">A partir do dia 16, um cone </w:t>
      </w:r>
      <w:r>
        <w:rPr>
          <w:i/>
        </w:rPr>
        <w:t>Imhoff</w:t>
      </w:r>
      <w:r>
        <w:rPr>
          <w:i/>
          <w:spacing w:val="40"/>
        </w:rPr>
        <w:t xml:space="preserve"> </w:t>
      </w:r>
      <w:r>
        <w:t xml:space="preserve">foi utilizado como decantador para promover a “captura” dos flocos que </w:t>
      </w:r>
      <w:r>
        <w:rPr>
          <w:position w:val="1"/>
        </w:rPr>
        <w:t>estavam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sendo lavados do reator R</w:t>
      </w:r>
      <w:r>
        <w:rPr>
          <w:sz w:val="13"/>
        </w:rPr>
        <w:t xml:space="preserve">3 </w:t>
      </w:r>
      <w:r>
        <w:rPr>
          <w:position w:val="1"/>
        </w:rPr>
        <w:t>(Figura 1</w:t>
      </w:r>
      <w:r>
        <w:rPr>
          <w:position w:val="1"/>
          <w:sz w:val="22"/>
        </w:rPr>
        <w:t>).</w:t>
      </w:r>
      <w:r>
        <w:rPr>
          <w:spacing w:val="-4"/>
          <w:position w:val="1"/>
          <w:sz w:val="22"/>
        </w:rPr>
        <w:t xml:space="preserve"> </w:t>
      </w:r>
      <w:r>
        <w:rPr>
          <w:position w:val="1"/>
        </w:rPr>
        <w:t xml:space="preserve">O retorno dos flocos foi feito diariamente, a fim de promover o </w:t>
      </w:r>
      <w:r>
        <w:t>enriquecimento de BOA, que crescem preferencialmente em flocos ao invés de grânulos anammox</w:t>
      </w:r>
      <w:r>
        <w:rPr>
          <w:spacing w:val="80"/>
        </w:rPr>
        <w:t xml:space="preserve"> </w:t>
      </w:r>
      <w:r>
        <w:t>(LAURENI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2019;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2018).</w:t>
      </w:r>
      <w:r>
        <w:rPr>
          <w:spacing w:val="-1"/>
        </w:rPr>
        <w:t xml:space="preserve"> </w:t>
      </w:r>
      <w:r>
        <w:t>Procedimento</w:t>
      </w:r>
      <w:r>
        <w:rPr>
          <w:spacing w:val="-2"/>
        </w:rPr>
        <w:t xml:space="preserve"> </w:t>
      </w:r>
      <w:r>
        <w:t>semelhante</w:t>
      </w:r>
      <w:r>
        <w:rPr>
          <w:spacing w:val="-2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praticado</w:t>
      </w:r>
      <w:r>
        <w:rPr>
          <w:spacing w:val="-2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hidrociclones na ETE austríaca, Strass (WETT et al., 2015). Apesar das medidas adotadas, a ERN atingiu valor máximo de </w:t>
      </w:r>
      <w:r>
        <w:rPr>
          <w:spacing w:val="-4"/>
        </w:rPr>
        <w:t>65%.</w:t>
      </w:r>
    </w:p>
    <w:p w14:paraId="3D81FDBD" w14:textId="77777777" w:rsidR="00957D69" w:rsidRDefault="00957D69">
      <w:pPr>
        <w:pStyle w:val="Corpodetexto"/>
        <w:jc w:val="both"/>
        <w:sectPr w:rsidR="00957D69">
          <w:pgSz w:w="11910" w:h="16840"/>
          <w:pgMar w:top="2000" w:right="1275" w:bottom="1000" w:left="1275" w:header="455" w:footer="807" w:gutter="0"/>
          <w:cols w:space="720"/>
        </w:sectPr>
      </w:pPr>
    </w:p>
    <w:p w14:paraId="3EF015CD" w14:textId="0991E113" w:rsidR="00957D69" w:rsidRDefault="00D14AFB">
      <w:pPr>
        <w:pStyle w:val="Ttulo1"/>
        <w:spacing w:before="141"/>
      </w:pPr>
      <w:r w:rsidRPr="0030719B">
        <w:rPr>
          <w:spacing w:val="-2"/>
          <w:highlight w:val="yellow"/>
        </w:rPr>
        <w:lastRenderedPageBreak/>
        <w:t>CONCLUSÕES</w:t>
      </w:r>
      <w:r w:rsidR="0030719B" w:rsidRPr="0030719B">
        <w:rPr>
          <w:spacing w:val="-2"/>
          <w:highlight w:val="yellow"/>
        </w:rPr>
        <w:t xml:space="preserve"> E </w:t>
      </w:r>
      <w:r w:rsidRPr="0030719B">
        <w:rPr>
          <w:spacing w:val="-2"/>
          <w:highlight w:val="yellow"/>
        </w:rPr>
        <w:t>RECOMENDAÇÕES</w:t>
      </w:r>
    </w:p>
    <w:p w14:paraId="1B8120A8" w14:textId="77777777" w:rsidR="00957D69" w:rsidRDefault="00D14AFB">
      <w:pPr>
        <w:pStyle w:val="Corpodetexto"/>
        <w:spacing w:before="122"/>
        <w:ind w:right="229"/>
        <w:jc w:val="both"/>
      </w:pPr>
      <w:r>
        <w:t>A adaptação da biomassa granular anammox aplicando-se reduções gradativas da concentração de nitrogênio (232 → 50 mgN/L) e da temperatura (37 → 25°C), foram praticadas em 65 dias e não prejudicaram a eficiência de remoção de nitrogênio total (ERN = 87,3 ± 4,8%) via processo Anammox. Além disso, elevada carga nitrogenada volumétrica aplicada (CNVA) superior a 1,0 kgN/m</w:t>
      </w:r>
      <w:r>
        <w:rPr>
          <w:vertAlign w:val="superscript"/>
        </w:rPr>
        <w:t>3</w:t>
      </w:r>
      <w:r>
        <w:t xml:space="preserve">.d, pôde ser mantida durante esta adaptação. Este é um indicativo de que a biomassa granular anammox, enriquecida em reatores </w:t>
      </w:r>
      <w:r>
        <w:rPr>
          <w:i/>
        </w:rPr>
        <w:t>sidestream</w:t>
      </w:r>
      <w:r>
        <w:t>, pode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utilizada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reatores</w:t>
      </w:r>
      <w:r>
        <w:rPr>
          <w:spacing w:val="-2"/>
        </w:rPr>
        <w:t xml:space="preserve"> </w:t>
      </w:r>
      <w:r>
        <w:rPr>
          <w:i/>
        </w:rPr>
        <w:t>mainstream</w:t>
      </w:r>
      <w:r>
        <w:rPr>
          <w:i/>
          <w:spacing w:val="-2"/>
        </w:rPr>
        <w:t xml:space="preserve"> </w:t>
      </w:r>
      <w:r>
        <w:t>Anammox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pós-tratamento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efluentes</w:t>
      </w:r>
      <w:r>
        <w:rPr>
          <w:spacing w:val="-2"/>
        </w:rPr>
        <w:t xml:space="preserve"> </w:t>
      </w:r>
      <w:r>
        <w:t>anaeróbios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esgotos sanitários domésticos em regiões de clima quente.</w:t>
      </w:r>
      <w:r>
        <w:rPr>
          <w:spacing w:val="-2"/>
        </w:rPr>
        <w:t xml:space="preserve"> </w:t>
      </w:r>
      <w:r>
        <w:t>Entretanto, a biomassa granular anammox adaptada não foi capaz de remover nitrogênio quando submetida ao processo de nitritação parcial-anammox (PNA), em reator de estágio único com aeração intermitente automatizada (AIA). Quando a suplementação de nitrito foi realizada em conjunto com a AIA, a porcentagem máxima de remoção de nitrogênio foi de 65%, entretanto, não foi constatada contribuição do processo de nitritação parcial (PN).</w:t>
      </w:r>
    </w:p>
    <w:p w14:paraId="43CE95F0" w14:textId="77777777" w:rsidR="00957D69" w:rsidRDefault="00957D69">
      <w:pPr>
        <w:pStyle w:val="Corpodetexto"/>
        <w:ind w:left="0"/>
      </w:pPr>
    </w:p>
    <w:p w14:paraId="675AE7E9" w14:textId="77777777" w:rsidR="00957D69" w:rsidRDefault="00D14AFB">
      <w:pPr>
        <w:pStyle w:val="Corpodetexto"/>
      </w:pPr>
      <w:r>
        <w:t>Diante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resultados</w:t>
      </w:r>
      <w:r>
        <w:rPr>
          <w:spacing w:val="-9"/>
        </w:rPr>
        <w:t xml:space="preserve"> </w:t>
      </w:r>
      <w:r>
        <w:t>obtidos</w:t>
      </w:r>
      <w:r>
        <w:rPr>
          <w:spacing w:val="-8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t>estudo,</w:t>
      </w:r>
      <w:r>
        <w:rPr>
          <w:spacing w:val="-10"/>
        </w:rPr>
        <w:t xml:space="preserve"> </w:t>
      </w:r>
      <w:r>
        <w:t>recomenda-</w:t>
      </w:r>
      <w:r>
        <w:rPr>
          <w:spacing w:val="-5"/>
        </w:rPr>
        <w:t>se:</w:t>
      </w:r>
    </w:p>
    <w:p w14:paraId="257FB9AD" w14:textId="77777777" w:rsidR="00957D69" w:rsidRDefault="00D14AFB">
      <w:pPr>
        <w:pStyle w:val="PargrafodaLista"/>
        <w:numPr>
          <w:ilvl w:val="0"/>
          <w:numId w:val="2"/>
        </w:numPr>
        <w:tabs>
          <w:tab w:val="left" w:pos="513"/>
        </w:tabs>
        <w:spacing w:line="245" w:lineRule="exact"/>
        <w:ind w:left="513" w:hanging="283"/>
        <w:jc w:val="left"/>
        <w:rPr>
          <w:sz w:val="20"/>
        </w:rPr>
      </w:pPr>
      <w:r>
        <w:rPr>
          <w:sz w:val="20"/>
        </w:rPr>
        <w:t>inocular</w:t>
      </w:r>
      <w:r>
        <w:rPr>
          <w:spacing w:val="-10"/>
          <w:sz w:val="20"/>
        </w:rPr>
        <w:t xml:space="preserve"> </w:t>
      </w:r>
      <w:r>
        <w:rPr>
          <w:sz w:val="20"/>
        </w:rPr>
        <w:t>biomassa</w:t>
      </w:r>
      <w:r>
        <w:rPr>
          <w:spacing w:val="-7"/>
          <w:sz w:val="20"/>
        </w:rPr>
        <w:t xml:space="preserve"> </w:t>
      </w:r>
      <w:r>
        <w:rPr>
          <w:sz w:val="20"/>
        </w:rPr>
        <w:t>nitritante</w:t>
      </w:r>
      <w:r>
        <w:rPr>
          <w:spacing w:val="-7"/>
          <w:sz w:val="20"/>
        </w:rPr>
        <w:t xml:space="preserve"> </w:t>
      </w:r>
      <w:r>
        <w:rPr>
          <w:sz w:val="20"/>
        </w:rPr>
        <w:t>junto</w:t>
      </w:r>
      <w:r>
        <w:rPr>
          <w:spacing w:val="-7"/>
          <w:sz w:val="20"/>
        </w:rPr>
        <w:t xml:space="preserve"> </w:t>
      </w:r>
      <w:r>
        <w:rPr>
          <w:sz w:val="20"/>
        </w:rPr>
        <w:t>à</w:t>
      </w:r>
      <w:r>
        <w:rPr>
          <w:spacing w:val="-7"/>
          <w:sz w:val="20"/>
        </w:rPr>
        <w:t xml:space="preserve"> </w:t>
      </w:r>
      <w:r>
        <w:rPr>
          <w:sz w:val="20"/>
        </w:rPr>
        <w:t>biomassa</w:t>
      </w:r>
      <w:r>
        <w:rPr>
          <w:spacing w:val="-8"/>
          <w:sz w:val="20"/>
        </w:rPr>
        <w:t xml:space="preserve"> </w:t>
      </w:r>
      <w:r>
        <w:rPr>
          <w:sz w:val="20"/>
        </w:rPr>
        <w:t>granular</w:t>
      </w:r>
      <w:r>
        <w:rPr>
          <w:spacing w:val="-7"/>
          <w:sz w:val="20"/>
        </w:rPr>
        <w:t xml:space="preserve"> </w:t>
      </w:r>
      <w:r>
        <w:rPr>
          <w:sz w:val="20"/>
        </w:rPr>
        <w:t>anammox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enriquecida;</w:t>
      </w:r>
    </w:p>
    <w:p w14:paraId="3002E822" w14:textId="77777777" w:rsidR="00957D69" w:rsidRDefault="00D14AFB">
      <w:pPr>
        <w:pStyle w:val="PargrafodaLista"/>
        <w:numPr>
          <w:ilvl w:val="0"/>
          <w:numId w:val="2"/>
        </w:numPr>
        <w:tabs>
          <w:tab w:val="left" w:pos="513"/>
        </w:tabs>
        <w:spacing w:line="245" w:lineRule="exact"/>
        <w:ind w:left="513" w:hanging="283"/>
        <w:jc w:val="left"/>
        <w:rPr>
          <w:sz w:val="20"/>
        </w:rPr>
      </w:pPr>
      <w:r>
        <w:rPr>
          <w:sz w:val="20"/>
        </w:rPr>
        <w:t>adicionar</w:t>
      </w:r>
      <w:r>
        <w:rPr>
          <w:spacing w:val="-10"/>
          <w:sz w:val="20"/>
        </w:rPr>
        <w:t xml:space="preserve"> </w:t>
      </w:r>
      <w:r>
        <w:rPr>
          <w:sz w:val="20"/>
        </w:rPr>
        <w:t>matéria</w:t>
      </w:r>
      <w:r>
        <w:rPr>
          <w:spacing w:val="-8"/>
          <w:sz w:val="20"/>
        </w:rPr>
        <w:t xml:space="preserve"> </w:t>
      </w:r>
      <w:r>
        <w:rPr>
          <w:sz w:val="20"/>
        </w:rPr>
        <w:t>orgânica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efluentes</w:t>
      </w:r>
      <w:r>
        <w:rPr>
          <w:spacing w:val="-8"/>
          <w:sz w:val="20"/>
        </w:rPr>
        <w:t xml:space="preserve"> </w:t>
      </w:r>
      <w:r>
        <w:rPr>
          <w:sz w:val="20"/>
        </w:rPr>
        <w:t>anaeróbios</w:t>
      </w:r>
      <w:r>
        <w:rPr>
          <w:spacing w:val="-8"/>
          <w:sz w:val="20"/>
        </w:rPr>
        <w:t xml:space="preserve"> </w:t>
      </w:r>
      <w:r>
        <w:rPr>
          <w:sz w:val="20"/>
        </w:rPr>
        <w:t>tratando</w:t>
      </w:r>
      <w:r>
        <w:rPr>
          <w:spacing w:val="-7"/>
          <w:sz w:val="20"/>
        </w:rPr>
        <w:t xml:space="preserve"> </w:t>
      </w:r>
      <w:r>
        <w:rPr>
          <w:sz w:val="20"/>
        </w:rPr>
        <w:t>esgoto</w:t>
      </w:r>
      <w:r>
        <w:rPr>
          <w:spacing w:val="-8"/>
          <w:sz w:val="20"/>
        </w:rPr>
        <w:t xml:space="preserve"> </w:t>
      </w:r>
      <w:r>
        <w:rPr>
          <w:sz w:val="20"/>
        </w:rPr>
        <w:t>sanitário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doméstico;</w:t>
      </w:r>
    </w:p>
    <w:p w14:paraId="7A90225C" w14:textId="77777777" w:rsidR="00957D69" w:rsidRDefault="00D14AFB">
      <w:pPr>
        <w:pStyle w:val="PargrafodaLista"/>
        <w:numPr>
          <w:ilvl w:val="0"/>
          <w:numId w:val="2"/>
        </w:numPr>
        <w:tabs>
          <w:tab w:val="left" w:pos="513"/>
        </w:tabs>
        <w:spacing w:line="242" w:lineRule="exact"/>
        <w:ind w:left="513" w:hanging="283"/>
        <w:jc w:val="left"/>
        <w:rPr>
          <w:sz w:val="20"/>
        </w:rPr>
      </w:pPr>
      <w:r>
        <w:rPr>
          <w:sz w:val="20"/>
        </w:rPr>
        <w:t>avaliar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condução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processo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mainstream</w:t>
      </w:r>
      <w:r>
        <w:rPr>
          <w:i/>
          <w:spacing w:val="-7"/>
          <w:sz w:val="20"/>
        </w:rPr>
        <w:t xml:space="preserve"> </w:t>
      </w:r>
      <w:r>
        <w:rPr>
          <w:sz w:val="20"/>
        </w:rPr>
        <w:t>PNA</w:t>
      </w:r>
      <w:r>
        <w:rPr>
          <w:spacing w:val="-6"/>
          <w:sz w:val="20"/>
        </w:rPr>
        <w:t xml:space="preserve"> </w:t>
      </w:r>
      <w:r>
        <w:rPr>
          <w:sz w:val="20"/>
        </w:rPr>
        <w:t>em</w:t>
      </w:r>
      <w:r>
        <w:rPr>
          <w:spacing w:val="-7"/>
          <w:sz w:val="20"/>
        </w:rPr>
        <w:t xml:space="preserve"> </w:t>
      </w:r>
      <w:r>
        <w:rPr>
          <w:sz w:val="20"/>
        </w:rPr>
        <w:t>estágio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duplo;</w:t>
      </w:r>
    </w:p>
    <w:p w14:paraId="0683249A" w14:textId="77777777" w:rsidR="00957D69" w:rsidRDefault="00D14AFB">
      <w:pPr>
        <w:pStyle w:val="PargrafodaLista"/>
        <w:numPr>
          <w:ilvl w:val="0"/>
          <w:numId w:val="2"/>
        </w:numPr>
        <w:tabs>
          <w:tab w:val="left" w:pos="513"/>
        </w:tabs>
        <w:spacing w:line="243" w:lineRule="exact"/>
        <w:ind w:left="513" w:hanging="283"/>
        <w:jc w:val="left"/>
        <w:rPr>
          <w:sz w:val="20"/>
        </w:rPr>
      </w:pPr>
      <w:r>
        <w:rPr>
          <w:sz w:val="20"/>
        </w:rPr>
        <w:t>realizar</w:t>
      </w:r>
      <w:r>
        <w:rPr>
          <w:spacing w:val="-8"/>
          <w:sz w:val="20"/>
        </w:rPr>
        <w:t xml:space="preserve"> </w:t>
      </w:r>
      <w:r>
        <w:rPr>
          <w:sz w:val="20"/>
        </w:rPr>
        <w:t>testes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atividade</w:t>
      </w:r>
      <w:r>
        <w:rPr>
          <w:spacing w:val="-7"/>
          <w:sz w:val="20"/>
        </w:rPr>
        <w:t xml:space="preserve"> </w:t>
      </w:r>
      <w:r>
        <w:rPr>
          <w:sz w:val="20"/>
        </w:rPr>
        <w:t>específica</w:t>
      </w:r>
      <w:r>
        <w:rPr>
          <w:spacing w:val="-8"/>
          <w:sz w:val="20"/>
        </w:rPr>
        <w:t xml:space="preserve"> </w:t>
      </w:r>
      <w:r>
        <w:rPr>
          <w:sz w:val="20"/>
        </w:rPr>
        <w:t>das</w:t>
      </w:r>
      <w:r>
        <w:rPr>
          <w:spacing w:val="-8"/>
          <w:sz w:val="20"/>
        </w:rPr>
        <w:t xml:space="preserve"> </w:t>
      </w:r>
      <w:r>
        <w:rPr>
          <w:sz w:val="20"/>
        </w:rPr>
        <w:t>bactérias</w:t>
      </w:r>
      <w:r>
        <w:rPr>
          <w:spacing w:val="-7"/>
          <w:sz w:val="20"/>
        </w:rPr>
        <w:t xml:space="preserve"> </w:t>
      </w:r>
      <w:r>
        <w:rPr>
          <w:sz w:val="20"/>
        </w:rPr>
        <w:t>anammox,</w:t>
      </w:r>
      <w:r>
        <w:rPr>
          <w:spacing w:val="-6"/>
          <w:sz w:val="20"/>
        </w:rPr>
        <w:t xml:space="preserve"> </w:t>
      </w:r>
      <w:r>
        <w:rPr>
          <w:sz w:val="20"/>
        </w:rPr>
        <w:t>nitritantes,</w:t>
      </w:r>
      <w:r>
        <w:rPr>
          <w:spacing w:val="-8"/>
          <w:sz w:val="20"/>
        </w:rPr>
        <w:t xml:space="preserve"> </w:t>
      </w:r>
      <w:r>
        <w:rPr>
          <w:sz w:val="20"/>
        </w:rPr>
        <w:t>nitratantes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heterotróficas.</w:t>
      </w:r>
    </w:p>
    <w:p w14:paraId="701FE11D" w14:textId="77777777" w:rsidR="00957D69" w:rsidRPr="005B17A9" w:rsidRDefault="00D14AFB">
      <w:pPr>
        <w:pStyle w:val="Ttulo1"/>
        <w:spacing w:before="229"/>
        <w:rPr>
          <w:highlight w:val="yellow"/>
        </w:rPr>
      </w:pPr>
      <w:r w:rsidRPr="005B17A9">
        <w:rPr>
          <w:spacing w:val="-2"/>
          <w:highlight w:val="yellow"/>
        </w:rPr>
        <w:t>REFERÊNCIAS</w:t>
      </w:r>
      <w:r w:rsidRPr="005B17A9">
        <w:rPr>
          <w:spacing w:val="2"/>
          <w:highlight w:val="yellow"/>
        </w:rPr>
        <w:t xml:space="preserve"> </w:t>
      </w:r>
      <w:r w:rsidRPr="005B17A9">
        <w:rPr>
          <w:spacing w:val="-2"/>
          <w:highlight w:val="yellow"/>
        </w:rPr>
        <w:t>BIBLIOGRÁFICAS</w:t>
      </w:r>
    </w:p>
    <w:p w14:paraId="120C0615" w14:textId="5BF72860" w:rsidR="00957D69" w:rsidRPr="005B17A9" w:rsidRDefault="00D14AFB" w:rsidP="009B16AA">
      <w:pPr>
        <w:tabs>
          <w:tab w:val="left" w:pos="514"/>
        </w:tabs>
        <w:spacing w:before="122"/>
        <w:ind w:left="230" w:right="230"/>
        <w:rPr>
          <w:sz w:val="20"/>
          <w:highlight w:val="yellow"/>
        </w:rPr>
      </w:pPr>
      <w:r w:rsidRPr="005B17A9">
        <w:rPr>
          <w:sz w:val="20"/>
          <w:highlight w:val="yellow"/>
        </w:rPr>
        <w:t>ALI, M.</w:t>
      </w:r>
      <w:r w:rsidR="005A680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OKABE, S. </w:t>
      </w:r>
      <w:r w:rsidRPr="005B17A9">
        <w:rPr>
          <w:iCs/>
          <w:sz w:val="20"/>
          <w:highlight w:val="yellow"/>
        </w:rPr>
        <w:t>Anammox-based technologies for nitrogen removal: Advances in process start-up</w:t>
      </w:r>
      <w:r w:rsidRPr="005B17A9">
        <w:rPr>
          <w:iCs/>
          <w:spacing w:val="80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and remaining issues</w:t>
      </w:r>
      <w:r w:rsidRPr="005B17A9">
        <w:rPr>
          <w:i/>
          <w:sz w:val="20"/>
          <w:highlight w:val="yellow"/>
        </w:rPr>
        <w:t xml:space="preserve">. </w:t>
      </w:r>
      <w:r w:rsidRPr="005B17A9">
        <w:rPr>
          <w:i/>
          <w:iCs/>
          <w:sz w:val="20"/>
          <w:highlight w:val="yellow"/>
        </w:rPr>
        <w:t>Chemosphere</w:t>
      </w:r>
      <w:r w:rsidRPr="005B17A9">
        <w:rPr>
          <w:sz w:val="20"/>
          <w:highlight w:val="yellow"/>
        </w:rPr>
        <w:t xml:space="preserve">, v. 141, </w:t>
      </w:r>
      <w:r w:rsidR="00FA68B7" w:rsidRPr="005B17A9">
        <w:rPr>
          <w:sz w:val="20"/>
          <w:highlight w:val="yellow"/>
        </w:rPr>
        <w:t xml:space="preserve">2015, </w:t>
      </w:r>
      <w:r w:rsidRPr="005B17A9">
        <w:rPr>
          <w:sz w:val="20"/>
          <w:highlight w:val="yellow"/>
        </w:rPr>
        <w:t>p. 144–153.</w:t>
      </w:r>
    </w:p>
    <w:p w14:paraId="72520082" w14:textId="6C8357A9" w:rsidR="00957D69" w:rsidRPr="005B17A9" w:rsidRDefault="00D14AFB" w:rsidP="009B16AA">
      <w:pPr>
        <w:tabs>
          <w:tab w:val="left" w:pos="514"/>
        </w:tabs>
        <w:spacing w:before="1"/>
        <w:ind w:left="230" w:right="230"/>
        <w:rPr>
          <w:sz w:val="20"/>
          <w:highlight w:val="yellow"/>
        </w:rPr>
      </w:pPr>
      <w:r w:rsidRPr="005B17A9">
        <w:rPr>
          <w:sz w:val="20"/>
          <w:highlight w:val="yellow"/>
        </w:rPr>
        <w:t>ARDERN, E.</w:t>
      </w:r>
      <w:r w:rsidR="004815D9" w:rsidRPr="005B17A9">
        <w:rPr>
          <w:sz w:val="20"/>
          <w:highlight w:val="yellow"/>
        </w:rPr>
        <w:t xml:space="preserve">; </w:t>
      </w:r>
      <w:r w:rsidRPr="005B17A9">
        <w:rPr>
          <w:sz w:val="20"/>
          <w:highlight w:val="yellow"/>
        </w:rPr>
        <w:t xml:space="preserve">LOCKETT, W.T. </w:t>
      </w:r>
      <w:r w:rsidRPr="005B17A9">
        <w:rPr>
          <w:iCs/>
          <w:sz w:val="20"/>
          <w:highlight w:val="yellow"/>
        </w:rPr>
        <w:t>Experiments on the oxidation of sewage without the aid of filters</w:t>
      </w:r>
      <w:r w:rsidRPr="005B17A9">
        <w:rPr>
          <w:i/>
          <w:sz w:val="20"/>
          <w:highlight w:val="yellow"/>
        </w:rPr>
        <w:t xml:space="preserve">. Journal of the society of chemical industry, </w:t>
      </w:r>
      <w:r w:rsidR="00031390" w:rsidRPr="005B17A9">
        <w:rPr>
          <w:iCs/>
          <w:sz w:val="20"/>
          <w:highlight w:val="yellow"/>
        </w:rPr>
        <w:t xml:space="preserve">v. </w:t>
      </w:r>
      <w:r w:rsidRPr="005B17A9">
        <w:rPr>
          <w:sz w:val="20"/>
          <w:highlight w:val="yellow"/>
        </w:rPr>
        <w:t>33</w:t>
      </w:r>
      <w:r w:rsidR="00031390" w:rsidRPr="005B17A9">
        <w:rPr>
          <w:sz w:val="20"/>
          <w:highlight w:val="yellow"/>
        </w:rPr>
        <w:t xml:space="preserve">, n </w:t>
      </w:r>
      <w:r w:rsidRPr="005B17A9">
        <w:rPr>
          <w:sz w:val="20"/>
          <w:highlight w:val="yellow"/>
        </w:rPr>
        <w:t>10</w:t>
      </w:r>
      <w:r w:rsidR="00031390" w:rsidRPr="005B17A9">
        <w:rPr>
          <w:sz w:val="20"/>
          <w:highlight w:val="yellow"/>
        </w:rPr>
        <w:t>, 1914</w:t>
      </w:r>
      <w:r w:rsidRPr="005B17A9">
        <w:rPr>
          <w:sz w:val="20"/>
          <w:highlight w:val="yellow"/>
        </w:rPr>
        <w:t>, 523-539.</w:t>
      </w:r>
    </w:p>
    <w:p w14:paraId="4EEA73DC" w14:textId="270EBE88" w:rsidR="00957D69" w:rsidRPr="005B17A9" w:rsidRDefault="00D14AFB" w:rsidP="009B16AA">
      <w:pPr>
        <w:tabs>
          <w:tab w:val="left" w:pos="514"/>
        </w:tabs>
        <w:ind w:left="230" w:right="230"/>
        <w:rPr>
          <w:sz w:val="20"/>
          <w:highlight w:val="yellow"/>
        </w:rPr>
      </w:pPr>
      <w:r w:rsidRPr="005B17A9">
        <w:rPr>
          <w:sz w:val="20"/>
          <w:highlight w:val="yellow"/>
        </w:rPr>
        <w:t>APHA</w:t>
      </w:r>
      <w:r w:rsidR="009D1ECA" w:rsidRPr="005B17A9">
        <w:rPr>
          <w:sz w:val="20"/>
          <w:highlight w:val="yellow"/>
        </w:rPr>
        <w:t xml:space="preserve">. </w:t>
      </w:r>
      <w:r w:rsidRPr="005B17A9">
        <w:rPr>
          <w:i/>
          <w:sz w:val="20"/>
          <w:highlight w:val="yellow"/>
        </w:rPr>
        <w:t>Standard Methods for the Examination of Water and Wastewate</w:t>
      </w:r>
      <w:r w:rsidR="006D2FAD" w:rsidRPr="005B17A9">
        <w:rPr>
          <w:i/>
          <w:sz w:val="20"/>
          <w:highlight w:val="yellow"/>
        </w:rPr>
        <w:t>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2</w:t>
      </w:r>
      <w:r w:rsidR="00C36A1F" w:rsidRPr="005B17A9">
        <w:rPr>
          <w:iCs/>
          <w:sz w:val="20"/>
          <w:highlight w:val="yellow"/>
        </w:rPr>
        <w:t xml:space="preserve">2 </w:t>
      </w:r>
      <w:r w:rsidRPr="005B17A9">
        <w:rPr>
          <w:iCs/>
          <w:sz w:val="20"/>
          <w:highlight w:val="yellow"/>
        </w:rPr>
        <w:t>ed. American Public Health Association,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Washington, DC</w:t>
      </w:r>
      <w:r w:rsidR="00C36A1F" w:rsidRPr="005B17A9">
        <w:rPr>
          <w:sz w:val="20"/>
          <w:highlight w:val="yellow"/>
        </w:rPr>
        <w:t xml:space="preserve">, </w:t>
      </w:r>
      <w:r w:rsidR="009D1ECA" w:rsidRPr="005B17A9">
        <w:rPr>
          <w:sz w:val="20"/>
          <w:highlight w:val="yellow"/>
        </w:rPr>
        <w:t>2012.</w:t>
      </w:r>
    </w:p>
    <w:p w14:paraId="136BA9D9" w14:textId="17F60B8F" w:rsidR="00957D69" w:rsidRPr="005B17A9" w:rsidRDefault="00D14AFB" w:rsidP="009B16AA">
      <w:pPr>
        <w:tabs>
          <w:tab w:val="left" w:pos="514"/>
        </w:tabs>
        <w:spacing w:before="3" w:line="237" w:lineRule="auto"/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CAO, Y.</w:t>
      </w:r>
      <w:r w:rsidR="00F36D4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VAN LOOSDRECHT, M.C.M.</w:t>
      </w:r>
      <w:r w:rsidR="00F36D4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DAIGGER, G.T. </w:t>
      </w:r>
      <w:r w:rsidRPr="005B17A9">
        <w:rPr>
          <w:iCs/>
          <w:sz w:val="20"/>
          <w:highlight w:val="yellow"/>
        </w:rPr>
        <w:t>Mainstream partial nitritation–anammox in municipal wastewater treatment: status, bottlenecks, and further studies.</w:t>
      </w:r>
      <w:r w:rsidRPr="005B17A9">
        <w:rPr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Applied Microbiology and Biotechnology</w:t>
      </w:r>
      <w:r w:rsidRPr="005B17A9">
        <w:rPr>
          <w:sz w:val="20"/>
          <w:highlight w:val="yellow"/>
        </w:rPr>
        <w:t xml:space="preserve">, v. 101, n. 4, </w:t>
      </w:r>
      <w:r w:rsidR="004815D9" w:rsidRPr="005B17A9">
        <w:rPr>
          <w:sz w:val="20"/>
          <w:highlight w:val="yellow"/>
        </w:rPr>
        <w:t xml:space="preserve">2017, </w:t>
      </w:r>
      <w:r w:rsidRPr="005B17A9">
        <w:rPr>
          <w:sz w:val="20"/>
          <w:highlight w:val="yellow"/>
        </w:rPr>
        <w:t>p. 1365–1383.</w:t>
      </w:r>
    </w:p>
    <w:p w14:paraId="245FA507" w14:textId="7531732C" w:rsidR="00957D69" w:rsidRPr="005B17A9" w:rsidRDefault="00D14AFB" w:rsidP="009B16AA">
      <w:pPr>
        <w:tabs>
          <w:tab w:val="left" w:pos="514"/>
        </w:tabs>
        <w:spacing w:before="2"/>
        <w:ind w:left="230" w:righ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CAREY, R.O.</w:t>
      </w:r>
      <w:r w:rsidR="00DF16D9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MIGLIACCIO, K.W. </w:t>
      </w:r>
      <w:r w:rsidRPr="005B17A9">
        <w:rPr>
          <w:iCs/>
          <w:sz w:val="20"/>
          <w:highlight w:val="yellow"/>
        </w:rPr>
        <w:t>Contribution of wastewater treatment plant effluents to nutrient dynamics in aquatic systems.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Environmental Management</w:t>
      </w:r>
      <w:r w:rsidRPr="005B17A9">
        <w:rPr>
          <w:sz w:val="20"/>
          <w:highlight w:val="yellow"/>
        </w:rPr>
        <w:t xml:space="preserve">, v. 44, n. 2, </w:t>
      </w:r>
      <w:r w:rsidR="00DF16D9" w:rsidRPr="005B17A9">
        <w:rPr>
          <w:sz w:val="20"/>
          <w:highlight w:val="yellow"/>
        </w:rPr>
        <w:t xml:space="preserve">2009, </w:t>
      </w:r>
      <w:r w:rsidRPr="005B17A9">
        <w:rPr>
          <w:sz w:val="20"/>
          <w:highlight w:val="yellow"/>
        </w:rPr>
        <w:t>p. 205–217.</w:t>
      </w:r>
    </w:p>
    <w:p w14:paraId="2E0C2540" w14:textId="77777777" w:rsidR="004850C3" w:rsidRPr="005B17A9" w:rsidRDefault="00D14AFB" w:rsidP="004850C3">
      <w:pPr>
        <w:tabs>
          <w:tab w:val="left" w:pos="283"/>
        </w:tabs>
        <w:spacing w:before="1"/>
        <w:ind w:left="231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CARVAJAL-ARROYO,</w:t>
      </w:r>
      <w:r w:rsidRPr="005B17A9">
        <w:rPr>
          <w:spacing w:val="1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J.M.,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PUYOL,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D.,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LI,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G.,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SIERRA-ÁLVAREZ,</w:t>
      </w:r>
      <w:r w:rsidRPr="005B17A9">
        <w:rPr>
          <w:spacing w:val="4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R.,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FIELD,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J.A.</w:t>
      </w:r>
      <w:r w:rsidRPr="005B17A9">
        <w:rPr>
          <w:spacing w:val="3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The</w:t>
      </w:r>
      <w:r w:rsidRPr="005B17A9">
        <w:rPr>
          <w:iCs/>
          <w:spacing w:val="3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role</w:t>
      </w:r>
      <w:r w:rsidRPr="005B17A9">
        <w:rPr>
          <w:iCs/>
          <w:spacing w:val="3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of</w:t>
      </w:r>
      <w:r w:rsidRPr="005B17A9">
        <w:rPr>
          <w:iCs/>
          <w:spacing w:val="4"/>
          <w:sz w:val="20"/>
          <w:highlight w:val="yellow"/>
        </w:rPr>
        <w:t xml:space="preserve"> </w:t>
      </w:r>
      <w:r w:rsidRPr="005B17A9">
        <w:rPr>
          <w:iCs/>
          <w:spacing w:val="-5"/>
          <w:sz w:val="20"/>
          <w:highlight w:val="yellow"/>
        </w:rPr>
        <w:t>pH</w:t>
      </w:r>
      <w:r w:rsidR="009C4AA9" w:rsidRPr="005B17A9">
        <w:rPr>
          <w:iCs/>
          <w:spacing w:val="-5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on the resistance of resting- and active anammox bacteria to NO2- inhibition.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Biotechnology and Bioengineering</w:t>
      </w:r>
      <w:r w:rsidRPr="005B17A9">
        <w:rPr>
          <w:sz w:val="20"/>
          <w:highlight w:val="yellow"/>
        </w:rPr>
        <w:t xml:space="preserve">, v. 111, n. 10, </w:t>
      </w:r>
      <w:r w:rsidR="00DF16D9" w:rsidRPr="005B17A9">
        <w:rPr>
          <w:sz w:val="20"/>
          <w:highlight w:val="yellow"/>
        </w:rPr>
        <w:t xml:space="preserve">2014, </w:t>
      </w:r>
      <w:r w:rsidRPr="005B17A9">
        <w:rPr>
          <w:sz w:val="20"/>
          <w:highlight w:val="yellow"/>
        </w:rPr>
        <w:t>p. 1949–1956</w:t>
      </w:r>
      <w:r w:rsidR="004850C3" w:rsidRPr="005B17A9">
        <w:rPr>
          <w:sz w:val="20"/>
          <w:highlight w:val="yellow"/>
        </w:rPr>
        <w:t>.</w:t>
      </w:r>
    </w:p>
    <w:p w14:paraId="3FAFA9BB" w14:textId="77777777" w:rsidR="004850C3" w:rsidRPr="005B17A9" w:rsidRDefault="00D14AFB" w:rsidP="004850C3">
      <w:pPr>
        <w:tabs>
          <w:tab w:val="left" w:pos="283"/>
        </w:tabs>
        <w:spacing w:before="1"/>
        <w:ind w:left="231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CHEN,</w:t>
      </w:r>
      <w:r w:rsidRPr="005B17A9">
        <w:rPr>
          <w:spacing w:val="24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R.</w:t>
      </w:r>
      <w:r w:rsidR="00BC35E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JI,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</w:t>
      </w:r>
      <w:r w:rsidR="00BC35E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CHEN,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Y.</w:t>
      </w:r>
      <w:r w:rsidR="00BC35E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TAKEMURA,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Y.</w:t>
      </w:r>
      <w:r w:rsidR="00BC35E9" w:rsidRPr="005B17A9">
        <w:rPr>
          <w:sz w:val="20"/>
          <w:highlight w:val="yellow"/>
        </w:rPr>
        <w:t>;</w:t>
      </w:r>
      <w:r w:rsidRPr="005B17A9">
        <w:rPr>
          <w:spacing w:val="2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LIU,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Y.</w:t>
      </w:r>
      <w:r w:rsidR="00DA219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KUBOTA,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K.</w:t>
      </w:r>
      <w:r w:rsidR="00DA219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MA,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H.</w:t>
      </w:r>
      <w:r w:rsidR="00DA2199" w:rsidRPr="005B17A9">
        <w:rPr>
          <w:sz w:val="20"/>
          <w:highlight w:val="yellow"/>
        </w:rPr>
        <w:t>;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LI,</w:t>
      </w:r>
      <w:r w:rsidRPr="005B17A9">
        <w:rPr>
          <w:spacing w:val="2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Y.Y.</w:t>
      </w:r>
      <w:r w:rsidRPr="005B17A9">
        <w:rPr>
          <w:spacing w:val="27"/>
          <w:sz w:val="20"/>
          <w:highlight w:val="yellow"/>
        </w:rPr>
        <w:t xml:space="preserve"> </w:t>
      </w:r>
      <w:r w:rsidRPr="005B17A9">
        <w:rPr>
          <w:iCs/>
          <w:spacing w:val="-2"/>
          <w:sz w:val="20"/>
          <w:highlight w:val="yellow"/>
        </w:rPr>
        <w:t>Successful</w:t>
      </w:r>
      <w:r w:rsidR="00041684"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operation performance and syntrophic micro-granule in partial nitritation and anammox reactor treating low-strength ammonia wastewater</w:t>
      </w:r>
      <w:r w:rsidRPr="005B17A9">
        <w:rPr>
          <w:i/>
          <w:sz w:val="20"/>
          <w:highlight w:val="yellow"/>
        </w:rPr>
        <w:t xml:space="preserve">. </w:t>
      </w:r>
      <w:r w:rsidRPr="005B17A9">
        <w:rPr>
          <w:i/>
          <w:iCs/>
          <w:sz w:val="20"/>
          <w:highlight w:val="yellow"/>
        </w:rPr>
        <w:t>Water Research</w:t>
      </w:r>
      <w:r w:rsidRPr="005B17A9">
        <w:rPr>
          <w:sz w:val="20"/>
          <w:highlight w:val="yellow"/>
        </w:rPr>
        <w:t xml:space="preserve">, v. 155, </w:t>
      </w:r>
      <w:r w:rsidR="00187313" w:rsidRPr="005B17A9">
        <w:rPr>
          <w:sz w:val="20"/>
          <w:highlight w:val="yellow"/>
        </w:rPr>
        <w:t>2019</w:t>
      </w:r>
      <w:r w:rsidR="00BC35E9" w:rsidRPr="005B17A9">
        <w:rPr>
          <w:sz w:val="20"/>
          <w:highlight w:val="yellow"/>
        </w:rPr>
        <w:t xml:space="preserve">, </w:t>
      </w:r>
      <w:r w:rsidRPr="005B17A9">
        <w:rPr>
          <w:sz w:val="20"/>
          <w:highlight w:val="yellow"/>
        </w:rPr>
        <w:t>p. 288–299.</w:t>
      </w:r>
    </w:p>
    <w:p w14:paraId="5882161F" w14:textId="77777777" w:rsidR="004850C3" w:rsidRPr="005B17A9" w:rsidRDefault="00D14AFB" w:rsidP="004850C3">
      <w:pPr>
        <w:tabs>
          <w:tab w:val="left" w:pos="283"/>
        </w:tabs>
        <w:spacing w:before="1"/>
        <w:ind w:left="231" w:right="229"/>
        <w:jc w:val="both"/>
        <w:rPr>
          <w:highlight w:val="yellow"/>
        </w:rPr>
      </w:pPr>
      <w:r w:rsidRPr="005B17A9">
        <w:rPr>
          <w:highlight w:val="yellow"/>
        </w:rPr>
        <w:t>CHENG,</w:t>
      </w:r>
      <w:r w:rsidRPr="005B17A9">
        <w:rPr>
          <w:spacing w:val="14"/>
          <w:highlight w:val="yellow"/>
        </w:rPr>
        <w:t xml:space="preserve"> </w:t>
      </w:r>
      <w:r w:rsidRPr="005B17A9">
        <w:rPr>
          <w:highlight w:val="yellow"/>
        </w:rPr>
        <w:t>Y.F.</w:t>
      </w:r>
      <w:r w:rsidR="00DA219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ZHANG,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Z.Z.</w:t>
      </w:r>
      <w:r w:rsidR="00DA2199" w:rsidRPr="005B17A9">
        <w:rPr>
          <w:highlight w:val="yellow"/>
        </w:rPr>
        <w:t>;</w:t>
      </w:r>
      <w:r w:rsidRPr="005B17A9">
        <w:rPr>
          <w:spacing w:val="17"/>
          <w:highlight w:val="yellow"/>
        </w:rPr>
        <w:t xml:space="preserve"> </w:t>
      </w:r>
      <w:r w:rsidRPr="005B17A9">
        <w:rPr>
          <w:highlight w:val="yellow"/>
        </w:rPr>
        <w:t>LI,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G.F.</w:t>
      </w:r>
      <w:r w:rsidR="00DA219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ZHANG,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Q.</w:t>
      </w:r>
      <w:r w:rsidR="00DA2199" w:rsidRPr="005B17A9">
        <w:rPr>
          <w:highlight w:val="yellow"/>
        </w:rPr>
        <w:t>;</w:t>
      </w:r>
      <w:r w:rsidRPr="005B17A9">
        <w:rPr>
          <w:spacing w:val="17"/>
          <w:highlight w:val="yellow"/>
        </w:rPr>
        <w:t xml:space="preserve"> </w:t>
      </w:r>
      <w:r w:rsidRPr="005B17A9">
        <w:rPr>
          <w:highlight w:val="yellow"/>
        </w:rPr>
        <w:t>ZHENG,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X.P</w:t>
      </w:r>
      <w:r w:rsidR="00DA219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CAI,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S.</w:t>
      </w:r>
      <w:r w:rsidR="00DA2199" w:rsidRPr="005B17A9">
        <w:rPr>
          <w:highlight w:val="yellow"/>
        </w:rPr>
        <w:t>;</w:t>
      </w:r>
      <w:r w:rsidRPr="005B17A9">
        <w:rPr>
          <w:spacing w:val="17"/>
          <w:highlight w:val="yellow"/>
        </w:rPr>
        <w:t xml:space="preserve"> </w:t>
      </w:r>
      <w:r w:rsidRPr="005B17A9">
        <w:rPr>
          <w:highlight w:val="yellow"/>
        </w:rPr>
        <w:t>XUE,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Y.</w:t>
      </w:r>
      <w:r w:rsidR="00DA219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HUANG,</w:t>
      </w:r>
      <w:r w:rsidRPr="005B17A9">
        <w:rPr>
          <w:spacing w:val="17"/>
          <w:highlight w:val="yellow"/>
        </w:rPr>
        <w:t xml:space="preserve"> </w:t>
      </w:r>
      <w:r w:rsidRPr="005B17A9">
        <w:rPr>
          <w:spacing w:val="-2"/>
          <w:highlight w:val="yellow"/>
        </w:rPr>
        <w:t>B.C.</w:t>
      </w:r>
      <w:r w:rsidR="00DA2199" w:rsidRPr="005B17A9">
        <w:rPr>
          <w:spacing w:val="-2"/>
          <w:highlight w:val="yellow"/>
        </w:rPr>
        <w:t>;</w:t>
      </w:r>
      <w:r w:rsidR="00BD6338" w:rsidRPr="005B17A9">
        <w:rPr>
          <w:spacing w:val="-2"/>
          <w:highlight w:val="yellow"/>
        </w:rPr>
        <w:t xml:space="preserve"> </w:t>
      </w:r>
      <w:r w:rsidRPr="005B17A9">
        <w:rPr>
          <w:sz w:val="20"/>
          <w:highlight w:val="yellow"/>
        </w:rPr>
        <w:t xml:space="preserve">JIN, R.C. </w:t>
      </w:r>
      <w:r w:rsidRPr="005B17A9">
        <w:rPr>
          <w:iCs/>
          <w:sz w:val="20"/>
          <w:highlight w:val="yellow"/>
        </w:rPr>
        <w:t>Anammox Granules Acclimatized to Mainstream Conditions Can Achieve a Volumetric Nitrogen Removal Rate Comparable to Sidestream Systems.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Environmental Science and Technology</w:t>
      </w:r>
      <w:r w:rsidRPr="005B17A9">
        <w:rPr>
          <w:sz w:val="20"/>
          <w:highlight w:val="yellow"/>
        </w:rPr>
        <w:t xml:space="preserve">, v. 54, n. 20, </w:t>
      </w:r>
      <w:r w:rsidR="00DA2199" w:rsidRPr="005B17A9">
        <w:rPr>
          <w:sz w:val="20"/>
          <w:highlight w:val="yellow"/>
        </w:rPr>
        <w:t>2020</w:t>
      </w:r>
      <w:r w:rsidR="00D66AFD" w:rsidRPr="005B17A9">
        <w:rPr>
          <w:sz w:val="20"/>
          <w:highlight w:val="yellow"/>
        </w:rPr>
        <w:t xml:space="preserve">, </w:t>
      </w:r>
      <w:r w:rsidRPr="005B17A9">
        <w:rPr>
          <w:sz w:val="20"/>
          <w:highlight w:val="yellow"/>
        </w:rPr>
        <w:t>p. 12959–12966</w:t>
      </w:r>
      <w:r w:rsidR="00041684" w:rsidRPr="005B17A9">
        <w:rPr>
          <w:highlight w:val="yellow"/>
        </w:rPr>
        <w:t>.</w:t>
      </w:r>
    </w:p>
    <w:p w14:paraId="105770B1" w14:textId="7DF26E65" w:rsidR="00957D69" w:rsidRPr="005B17A9" w:rsidRDefault="00D14AFB" w:rsidP="004850C3">
      <w:pPr>
        <w:tabs>
          <w:tab w:val="left" w:pos="283"/>
        </w:tabs>
        <w:spacing w:before="1"/>
        <w:ind w:left="231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DE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ALMEIDA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FERNANDES,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L.</w:t>
      </w:r>
      <w:r w:rsidR="00837566" w:rsidRPr="005B17A9">
        <w:rPr>
          <w:sz w:val="20"/>
          <w:highlight w:val="yellow"/>
        </w:rPr>
        <w:t>;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PEREIRA,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A.D.</w:t>
      </w:r>
      <w:r w:rsidR="00837566" w:rsidRPr="005B17A9">
        <w:rPr>
          <w:sz w:val="20"/>
          <w:highlight w:val="yellow"/>
        </w:rPr>
        <w:t>;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LEAL,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C.D.</w:t>
      </w:r>
      <w:r w:rsidR="00837566" w:rsidRPr="005B17A9">
        <w:rPr>
          <w:sz w:val="20"/>
          <w:highlight w:val="yellow"/>
        </w:rPr>
        <w:t>;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DAVENPORT,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R.</w:t>
      </w:r>
      <w:r w:rsidR="00837566" w:rsidRPr="005B17A9">
        <w:rPr>
          <w:sz w:val="20"/>
          <w:highlight w:val="yellow"/>
        </w:rPr>
        <w:t>;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WERNER,</w:t>
      </w:r>
      <w:r w:rsidRPr="005B17A9">
        <w:rPr>
          <w:spacing w:val="4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D.</w:t>
      </w:r>
      <w:r w:rsidR="00837566" w:rsidRPr="005B17A9">
        <w:rPr>
          <w:sz w:val="20"/>
          <w:highlight w:val="yellow"/>
        </w:rPr>
        <w:t>;</w:t>
      </w:r>
      <w:r w:rsidR="001F1B71" w:rsidRPr="005B17A9">
        <w:rPr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FILHO,</w:t>
      </w:r>
      <w:r w:rsidRPr="005B17A9">
        <w:rPr>
          <w:spacing w:val="4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C.R.M.</w:t>
      </w:r>
      <w:r w:rsidR="001F1B71" w:rsidRPr="005B17A9">
        <w:rPr>
          <w:sz w:val="20"/>
          <w:highlight w:val="yellow"/>
        </w:rPr>
        <w:t>;</w:t>
      </w:r>
      <w:r w:rsidRPr="005B17A9">
        <w:rPr>
          <w:spacing w:val="4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BRESSANI-RIBEIRO,</w:t>
      </w:r>
      <w:r w:rsidRPr="005B17A9">
        <w:rPr>
          <w:spacing w:val="49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T.</w:t>
      </w:r>
      <w:r w:rsidR="001F1B71" w:rsidRPr="005B17A9">
        <w:rPr>
          <w:sz w:val="20"/>
          <w:highlight w:val="yellow"/>
        </w:rPr>
        <w:t>;</w:t>
      </w:r>
      <w:r w:rsidRPr="005B17A9">
        <w:rPr>
          <w:spacing w:val="4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CHERNICHARO,</w:t>
      </w:r>
      <w:r w:rsidRPr="005B17A9">
        <w:rPr>
          <w:spacing w:val="4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C.A.L.</w:t>
      </w:r>
      <w:r w:rsidR="001F1B71" w:rsidRPr="005B17A9">
        <w:rPr>
          <w:sz w:val="20"/>
          <w:highlight w:val="yellow"/>
        </w:rPr>
        <w:t>;</w:t>
      </w:r>
      <w:r w:rsidRPr="005B17A9">
        <w:rPr>
          <w:spacing w:val="49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DE</w:t>
      </w:r>
      <w:r w:rsidRPr="005B17A9">
        <w:rPr>
          <w:spacing w:val="4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ARAÚJO,</w:t>
      </w:r>
      <w:r w:rsidRPr="005B17A9">
        <w:rPr>
          <w:spacing w:val="49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J.C.</w:t>
      </w:r>
      <w:r w:rsidRPr="005B17A9">
        <w:rPr>
          <w:spacing w:val="48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Effect</w:t>
      </w:r>
      <w:r w:rsidRPr="005B17A9">
        <w:rPr>
          <w:iCs/>
          <w:spacing w:val="49"/>
          <w:sz w:val="20"/>
          <w:highlight w:val="yellow"/>
        </w:rPr>
        <w:t xml:space="preserve"> </w:t>
      </w:r>
      <w:r w:rsidRPr="005B17A9">
        <w:rPr>
          <w:iCs/>
          <w:spacing w:val="-5"/>
          <w:sz w:val="20"/>
          <w:highlight w:val="yellow"/>
        </w:rPr>
        <w:t>of</w:t>
      </w:r>
      <w:r w:rsidR="00BD6338" w:rsidRPr="005B17A9">
        <w:rPr>
          <w:iCs/>
          <w:spacing w:val="-5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temperature on microbial diversity and nitrogen removal performance of an anammox reactor treating anaerobically pretreated municipal wastewater.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Bioresource Technology</w:t>
      </w:r>
      <w:r w:rsidRPr="005B17A9">
        <w:rPr>
          <w:sz w:val="20"/>
          <w:highlight w:val="yellow"/>
        </w:rPr>
        <w:t xml:space="preserve">, v. 258, </w:t>
      </w:r>
      <w:r w:rsidR="003548A6" w:rsidRPr="005B17A9">
        <w:rPr>
          <w:spacing w:val="-2"/>
          <w:sz w:val="20"/>
          <w:highlight w:val="yellow"/>
        </w:rPr>
        <w:t>2018</w:t>
      </w:r>
      <w:r w:rsidRPr="005B17A9">
        <w:rPr>
          <w:sz w:val="20"/>
          <w:highlight w:val="yellow"/>
        </w:rPr>
        <w:t>, p. 208–219</w:t>
      </w:r>
      <w:r w:rsidRPr="005B17A9">
        <w:rPr>
          <w:spacing w:val="-2"/>
          <w:sz w:val="20"/>
          <w:highlight w:val="yellow"/>
        </w:rPr>
        <w:t>.</w:t>
      </w:r>
    </w:p>
    <w:p w14:paraId="058AFFF6" w14:textId="6F5E67D4" w:rsidR="00957D69" w:rsidRPr="005B17A9" w:rsidRDefault="00D14AFB" w:rsidP="009B16AA">
      <w:pPr>
        <w:tabs>
          <w:tab w:val="left" w:pos="514"/>
        </w:tabs>
        <w:spacing w:before="1"/>
        <w:ind w:left="230" w:right="231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GAO, H</w:t>
      </w:r>
      <w:r w:rsidR="003548A6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SCHERSON, Y.D.</w:t>
      </w:r>
      <w:r w:rsidR="003548A6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WELLS, G.F. </w:t>
      </w:r>
      <w:r w:rsidRPr="005B17A9">
        <w:rPr>
          <w:iCs/>
          <w:sz w:val="20"/>
          <w:highlight w:val="yellow"/>
        </w:rPr>
        <w:t>Towards energy neutral wastewater treatment: Methodology and state of the art.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Environmental Sciences: Processes and Impacts</w:t>
      </w:r>
      <w:r w:rsidRPr="005B17A9">
        <w:rPr>
          <w:sz w:val="20"/>
          <w:highlight w:val="yellow"/>
        </w:rPr>
        <w:t xml:space="preserve">, v. 16, n. 6, </w:t>
      </w:r>
      <w:r w:rsidR="003548A6" w:rsidRPr="005B17A9">
        <w:rPr>
          <w:sz w:val="20"/>
          <w:highlight w:val="yellow"/>
        </w:rPr>
        <w:t xml:space="preserve">2014, </w:t>
      </w:r>
      <w:r w:rsidRPr="005B17A9">
        <w:rPr>
          <w:sz w:val="20"/>
          <w:highlight w:val="yellow"/>
        </w:rPr>
        <w:t>p. 1223–1246.</w:t>
      </w:r>
    </w:p>
    <w:p w14:paraId="408A22AF" w14:textId="3CDF4E41" w:rsidR="00957D69" w:rsidRPr="005B17A9" w:rsidRDefault="00D14AFB" w:rsidP="009B16AA">
      <w:pPr>
        <w:tabs>
          <w:tab w:val="left" w:pos="514"/>
        </w:tabs>
        <w:spacing w:before="1"/>
        <w:ind w:left="230" w:righ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 xml:space="preserve">HOEKSTRA, M. </w:t>
      </w:r>
      <w:r w:rsidRPr="005B17A9">
        <w:rPr>
          <w:i/>
          <w:iCs/>
          <w:sz w:val="20"/>
          <w:highlight w:val="yellow"/>
        </w:rPr>
        <w:t>Mainstream anammox, potential &amp; feasibility of autotrophic nitrogen removal</w:t>
      </w:r>
      <w:r w:rsidRPr="005B17A9">
        <w:rPr>
          <w:sz w:val="20"/>
          <w:highlight w:val="yellow"/>
        </w:rPr>
        <w:t>. Delf, The Netherlands, Delft University of Technology, 2017.</w:t>
      </w:r>
    </w:p>
    <w:p w14:paraId="79254062" w14:textId="4ECA8BB9" w:rsidR="00957D69" w:rsidRPr="005B17A9" w:rsidRDefault="00D14AFB" w:rsidP="009B16AA">
      <w:pPr>
        <w:tabs>
          <w:tab w:val="left" w:pos="513"/>
        </w:tabs>
        <w:spacing w:before="1" w:line="228" w:lineRule="exact"/>
        <w:ind w:left="231"/>
        <w:rPr>
          <w:highlight w:val="yellow"/>
        </w:rPr>
      </w:pPr>
      <w:r w:rsidRPr="005B17A9">
        <w:rPr>
          <w:sz w:val="20"/>
          <w:highlight w:val="yellow"/>
        </w:rPr>
        <w:t>JENNI,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S.;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VLAEMINCK,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S.E.</w:t>
      </w:r>
      <w:r w:rsidR="00DE3BE3" w:rsidRPr="005B17A9">
        <w:rPr>
          <w:sz w:val="20"/>
          <w:highlight w:val="yellow"/>
        </w:rPr>
        <w:t>;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MORGENROTH,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E</w:t>
      </w:r>
      <w:r w:rsidR="00DE3BE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>.,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UDERT,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K.M.</w:t>
      </w:r>
      <w:r w:rsidRPr="005B17A9">
        <w:rPr>
          <w:spacing w:val="59"/>
          <w:w w:val="150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Successful</w:t>
      </w:r>
      <w:r w:rsidRPr="005B17A9">
        <w:rPr>
          <w:iCs/>
          <w:spacing w:val="59"/>
          <w:w w:val="150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application</w:t>
      </w:r>
      <w:r w:rsidRPr="005B17A9">
        <w:rPr>
          <w:iCs/>
          <w:spacing w:val="59"/>
          <w:w w:val="150"/>
          <w:sz w:val="20"/>
          <w:highlight w:val="yellow"/>
        </w:rPr>
        <w:t xml:space="preserve"> </w:t>
      </w:r>
      <w:r w:rsidRPr="005B17A9">
        <w:rPr>
          <w:iCs/>
          <w:spacing w:val="-5"/>
          <w:sz w:val="20"/>
          <w:highlight w:val="yellow"/>
        </w:rPr>
        <w:t>of</w:t>
      </w:r>
      <w:r w:rsidR="00CF5953" w:rsidRPr="005B17A9">
        <w:rPr>
          <w:iCs/>
          <w:spacing w:val="-5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nitritation/anammox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towastewater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with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elevated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organic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carbon</w:t>
      </w:r>
      <w:r w:rsidRPr="005B17A9">
        <w:rPr>
          <w:iCs/>
          <w:spacing w:val="-6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to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ammonia</w:t>
      </w:r>
      <w:r w:rsidRPr="005B17A9">
        <w:rPr>
          <w:iCs/>
          <w:spacing w:val="-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ratios.</w:t>
      </w:r>
      <w:r w:rsidRPr="005B17A9">
        <w:rPr>
          <w:spacing w:val="-7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Water</w:t>
      </w:r>
      <w:r w:rsidRPr="005B17A9">
        <w:rPr>
          <w:i/>
          <w:iCs/>
          <w:spacing w:val="-7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Research</w:t>
      </w:r>
      <w:r w:rsidRPr="005B17A9">
        <w:rPr>
          <w:sz w:val="20"/>
          <w:highlight w:val="yellow"/>
        </w:rPr>
        <w:t>,</w:t>
      </w:r>
      <w:r w:rsidRPr="005B17A9">
        <w:rPr>
          <w:spacing w:val="-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v.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pacing w:val="-5"/>
          <w:sz w:val="20"/>
          <w:highlight w:val="yellow"/>
        </w:rPr>
        <w:t>49,</w:t>
      </w:r>
      <w:r w:rsidR="00DE3BE3" w:rsidRPr="005B17A9">
        <w:rPr>
          <w:spacing w:val="-2"/>
          <w:highlight w:val="yellow"/>
        </w:rPr>
        <w:t xml:space="preserve"> 2014</w:t>
      </w:r>
      <w:r w:rsidR="00460859" w:rsidRPr="005B17A9">
        <w:rPr>
          <w:spacing w:val="-2"/>
          <w:highlight w:val="yellow"/>
        </w:rPr>
        <w:t xml:space="preserve">, </w:t>
      </w:r>
      <w:r w:rsidRPr="005B17A9">
        <w:rPr>
          <w:highlight w:val="yellow"/>
        </w:rPr>
        <w:t>p.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316–326</w:t>
      </w:r>
      <w:r w:rsidRPr="005B17A9">
        <w:rPr>
          <w:spacing w:val="-2"/>
          <w:highlight w:val="yellow"/>
        </w:rPr>
        <w:t>.</w:t>
      </w:r>
    </w:p>
    <w:p w14:paraId="2523E28B" w14:textId="40B03780" w:rsidR="00957D69" w:rsidRPr="005B17A9" w:rsidRDefault="00D14AFB" w:rsidP="009B16AA">
      <w:pPr>
        <w:tabs>
          <w:tab w:val="left" w:pos="513"/>
        </w:tabs>
        <w:ind w:left="230"/>
        <w:rPr>
          <w:sz w:val="20"/>
          <w:highlight w:val="yellow"/>
        </w:rPr>
      </w:pPr>
      <w:r w:rsidRPr="005B17A9">
        <w:rPr>
          <w:sz w:val="20"/>
          <w:highlight w:val="yellow"/>
        </w:rPr>
        <w:t>JORDÃO,</w:t>
      </w:r>
      <w:r w:rsidRPr="005B17A9">
        <w:rPr>
          <w:spacing w:val="-9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E.P.</w:t>
      </w:r>
      <w:r w:rsidR="00460859" w:rsidRPr="005B17A9">
        <w:rPr>
          <w:sz w:val="20"/>
          <w:highlight w:val="yellow"/>
        </w:rPr>
        <w:t>;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PESSÔA,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C.A.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Tratamento</w:t>
      </w:r>
      <w:r w:rsidRPr="005B17A9">
        <w:rPr>
          <w:i/>
          <w:iCs/>
          <w:spacing w:val="-6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de</w:t>
      </w:r>
      <w:r w:rsidRPr="005B17A9">
        <w:rPr>
          <w:i/>
          <w:iCs/>
          <w:spacing w:val="-6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esgotos</w:t>
      </w:r>
      <w:r w:rsidRPr="005B17A9">
        <w:rPr>
          <w:i/>
          <w:iCs/>
          <w:spacing w:val="-7"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domésticos</w:t>
      </w:r>
      <w:r w:rsidRPr="005B17A9">
        <w:rPr>
          <w:sz w:val="20"/>
          <w:highlight w:val="yellow"/>
        </w:rPr>
        <w:t>.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6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ed.</w:t>
      </w:r>
      <w:r w:rsidRPr="005B17A9">
        <w:rPr>
          <w:spacing w:val="-6"/>
          <w:sz w:val="20"/>
          <w:highlight w:val="yellow"/>
        </w:rPr>
        <w:t xml:space="preserve"> </w:t>
      </w:r>
      <w:r w:rsidR="006B28CA" w:rsidRPr="005B17A9">
        <w:rPr>
          <w:spacing w:val="-2"/>
          <w:sz w:val="20"/>
          <w:highlight w:val="yellow"/>
        </w:rPr>
        <w:t>ABES,</w:t>
      </w:r>
      <w:r w:rsidR="006B28CA" w:rsidRPr="005B17A9">
        <w:rPr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Rio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de</w:t>
      </w:r>
      <w:r w:rsidRPr="005B17A9">
        <w:rPr>
          <w:spacing w:val="-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Janeiro</w:t>
      </w:r>
      <w:r w:rsidR="006B28CA" w:rsidRPr="005B17A9">
        <w:rPr>
          <w:sz w:val="20"/>
          <w:highlight w:val="yellow"/>
        </w:rPr>
        <w:t>, 2011.</w:t>
      </w:r>
    </w:p>
    <w:p w14:paraId="0A506FB7" w14:textId="12554D2E" w:rsidR="00957D69" w:rsidRPr="005B17A9" w:rsidRDefault="00D14AFB" w:rsidP="009B16AA">
      <w:pPr>
        <w:pStyle w:val="Ttulo2"/>
        <w:tabs>
          <w:tab w:val="left" w:pos="283"/>
        </w:tabs>
        <w:spacing w:before="94"/>
        <w:ind w:left="231" w:right="231" w:firstLine="0"/>
        <w:rPr>
          <w:highlight w:val="yellow"/>
        </w:rPr>
      </w:pPr>
      <w:r w:rsidRPr="005B17A9">
        <w:rPr>
          <w:highlight w:val="yellow"/>
        </w:rPr>
        <w:t>LACKNER,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S.</w:t>
      </w:r>
      <w:r w:rsidR="006B28CA" w:rsidRPr="005B17A9">
        <w:rPr>
          <w:highlight w:val="yellow"/>
        </w:rPr>
        <w:t>;</w:t>
      </w:r>
      <w:r w:rsidRPr="005B17A9">
        <w:rPr>
          <w:spacing w:val="-7"/>
          <w:highlight w:val="yellow"/>
        </w:rPr>
        <w:t xml:space="preserve"> </w:t>
      </w:r>
      <w:r w:rsidRPr="005B17A9">
        <w:rPr>
          <w:highlight w:val="yellow"/>
        </w:rPr>
        <w:t>GILBERT,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E.M.</w:t>
      </w:r>
      <w:r w:rsidR="006B28CA" w:rsidRPr="005B17A9">
        <w:rPr>
          <w:highlight w:val="yellow"/>
        </w:rPr>
        <w:t>;</w:t>
      </w:r>
      <w:r w:rsidRPr="005B17A9">
        <w:rPr>
          <w:spacing w:val="-7"/>
          <w:highlight w:val="yellow"/>
        </w:rPr>
        <w:t xml:space="preserve"> </w:t>
      </w:r>
      <w:r w:rsidRPr="005B17A9">
        <w:rPr>
          <w:highlight w:val="yellow"/>
        </w:rPr>
        <w:t>VLAEMINCK,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S.E.</w:t>
      </w:r>
      <w:r w:rsidR="006B28CA" w:rsidRPr="005B17A9">
        <w:rPr>
          <w:highlight w:val="yellow"/>
        </w:rPr>
        <w:t>;</w:t>
      </w:r>
      <w:r w:rsidRPr="005B17A9">
        <w:rPr>
          <w:spacing w:val="-7"/>
          <w:highlight w:val="yellow"/>
        </w:rPr>
        <w:t xml:space="preserve"> </w:t>
      </w:r>
      <w:r w:rsidRPr="005B17A9">
        <w:rPr>
          <w:highlight w:val="yellow"/>
        </w:rPr>
        <w:t>JOSS,</w:t>
      </w:r>
      <w:r w:rsidRPr="005B17A9">
        <w:rPr>
          <w:spacing w:val="-7"/>
          <w:highlight w:val="yellow"/>
        </w:rPr>
        <w:t xml:space="preserve"> </w:t>
      </w:r>
      <w:r w:rsidRPr="005B17A9">
        <w:rPr>
          <w:highlight w:val="yellow"/>
        </w:rPr>
        <w:t>A.</w:t>
      </w:r>
      <w:r w:rsidR="006B28CA" w:rsidRPr="005B17A9">
        <w:rPr>
          <w:highlight w:val="yellow"/>
        </w:rPr>
        <w:t>;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HORN,</w:t>
      </w:r>
      <w:r w:rsidRPr="005B17A9">
        <w:rPr>
          <w:spacing w:val="-7"/>
          <w:highlight w:val="yellow"/>
        </w:rPr>
        <w:t xml:space="preserve"> </w:t>
      </w:r>
      <w:r w:rsidRPr="005B17A9">
        <w:rPr>
          <w:highlight w:val="yellow"/>
        </w:rPr>
        <w:t>H.</w:t>
      </w:r>
      <w:r w:rsidR="006B28CA" w:rsidRPr="005B17A9">
        <w:rPr>
          <w:highlight w:val="yellow"/>
        </w:rPr>
        <w:t>;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VAN</w:t>
      </w:r>
      <w:r w:rsidRPr="005B17A9">
        <w:rPr>
          <w:spacing w:val="-8"/>
          <w:highlight w:val="yellow"/>
        </w:rPr>
        <w:t xml:space="preserve"> </w:t>
      </w:r>
      <w:r w:rsidRPr="005B17A9">
        <w:rPr>
          <w:highlight w:val="yellow"/>
        </w:rPr>
        <w:t>LOOSDRECHT,</w:t>
      </w:r>
      <w:r w:rsidRPr="005B17A9">
        <w:rPr>
          <w:spacing w:val="-7"/>
          <w:highlight w:val="yellow"/>
        </w:rPr>
        <w:t xml:space="preserve"> </w:t>
      </w:r>
      <w:r w:rsidRPr="005B17A9">
        <w:rPr>
          <w:spacing w:val="-4"/>
          <w:highlight w:val="yellow"/>
        </w:rPr>
        <w:t>M.C.</w:t>
      </w:r>
      <w:r w:rsidRPr="005B17A9">
        <w:rPr>
          <w:highlight w:val="yellow"/>
        </w:rPr>
        <w:t>M.</w:t>
      </w:r>
      <w:r w:rsidRPr="005B17A9">
        <w:rPr>
          <w:spacing w:val="5"/>
          <w:highlight w:val="yellow"/>
        </w:rPr>
        <w:t xml:space="preserve"> </w:t>
      </w:r>
      <w:r w:rsidRPr="005B17A9">
        <w:rPr>
          <w:iCs/>
          <w:highlight w:val="yellow"/>
        </w:rPr>
        <w:t>Full-scale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partial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nitritation/anammox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experiences</w:t>
      </w:r>
      <w:r w:rsidRPr="005B17A9">
        <w:rPr>
          <w:iCs/>
          <w:spacing w:val="6"/>
          <w:highlight w:val="yellow"/>
        </w:rPr>
        <w:t xml:space="preserve"> </w:t>
      </w:r>
      <w:r w:rsidRPr="005B17A9">
        <w:rPr>
          <w:iCs/>
          <w:highlight w:val="yellow"/>
        </w:rPr>
        <w:t>-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An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application</w:t>
      </w:r>
      <w:r w:rsidRPr="005B17A9">
        <w:rPr>
          <w:iCs/>
          <w:spacing w:val="8"/>
          <w:highlight w:val="yellow"/>
        </w:rPr>
        <w:t xml:space="preserve"> </w:t>
      </w:r>
      <w:r w:rsidRPr="005B17A9">
        <w:rPr>
          <w:iCs/>
          <w:highlight w:val="yellow"/>
        </w:rPr>
        <w:t>survey.</w:t>
      </w:r>
      <w:r w:rsidRPr="005B17A9">
        <w:rPr>
          <w:highlight w:val="yellow"/>
        </w:rPr>
        <w:t xml:space="preserve"> </w:t>
      </w:r>
      <w:r w:rsidRPr="005B17A9">
        <w:rPr>
          <w:i/>
          <w:iCs/>
          <w:highlight w:val="yellow"/>
        </w:rPr>
        <w:t>Water</w:t>
      </w:r>
      <w:r w:rsidRPr="005B17A9">
        <w:rPr>
          <w:i/>
          <w:iCs/>
          <w:spacing w:val="8"/>
          <w:highlight w:val="yellow"/>
        </w:rPr>
        <w:t xml:space="preserve"> </w:t>
      </w:r>
      <w:r w:rsidRPr="005B17A9">
        <w:rPr>
          <w:i/>
          <w:iCs/>
          <w:highlight w:val="yellow"/>
        </w:rPr>
        <w:t>Research</w:t>
      </w:r>
      <w:r w:rsidRPr="005B17A9">
        <w:rPr>
          <w:highlight w:val="yellow"/>
        </w:rPr>
        <w:t>,</w:t>
      </w:r>
      <w:r w:rsidRPr="005B17A9">
        <w:rPr>
          <w:spacing w:val="8"/>
          <w:highlight w:val="yellow"/>
        </w:rPr>
        <w:t xml:space="preserve"> </w:t>
      </w:r>
      <w:r w:rsidRPr="005B17A9">
        <w:rPr>
          <w:highlight w:val="yellow"/>
        </w:rPr>
        <w:t>v.</w:t>
      </w:r>
      <w:r w:rsidRPr="005B17A9">
        <w:rPr>
          <w:spacing w:val="8"/>
          <w:highlight w:val="yellow"/>
        </w:rPr>
        <w:t xml:space="preserve"> </w:t>
      </w:r>
      <w:r w:rsidRPr="005B17A9">
        <w:rPr>
          <w:highlight w:val="yellow"/>
        </w:rPr>
        <w:t>55,</w:t>
      </w:r>
      <w:r w:rsidRPr="005B17A9">
        <w:rPr>
          <w:spacing w:val="8"/>
          <w:highlight w:val="yellow"/>
        </w:rPr>
        <w:t xml:space="preserve"> </w:t>
      </w:r>
      <w:r w:rsidR="00F1589E" w:rsidRPr="005B17A9">
        <w:rPr>
          <w:spacing w:val="-2"/>
          <w:highlight w:val="yellow"/>
        </w:rPr>
        <w:t xml:space="preserve">2014, </w:t>
      </w:r>
      <w:r w:rsidRPr="005B17A9">
        <w:rPr>
          <w:spacing w:val="-5"/>
          <w:highlight w:val="yellow"/>
        </w:rPr>
        <w:t>p.</w:t>
      </w:r>
      <w:r w:rsidRPr="005B17A9">
        <w:rPr>
          <w:highlight w:val="yellow"/>
        </w:rPr>
        <w:t>292–303</w:t>
      </w:r>
      <w:r w:rsidR="00F1589E" w:rsidRPr="005B17A9">
        <w:rPr>
          <w:highlight w:val="yellow"/>
        </w:rPr>
        <w:t>.</w:t>
      </w:r>
    </w:p>
    <w:p w14:paraId="3B3F1E3E" w14:textId="40BD4A2F" w:rsidR="00957D69" w:rsidRPr="005B17A9" w:rsidRDefault="00D14AFB" w:rsidP="009B16AA">
      <w:pPr>
        <w:pStyle w:val="Ttulo2"/>
        <w:tabs>
          <w:tab w:val="left" w:pos="513"/>
        </w:tabs>
        <w:ind w:left="231" w:right="229" w:firstLine="0"/>
        <w:rPr>
          <w:highlight w:val="yellow"/>
        </w:rPr>
      </w:pPr>
      <w:r w:rsidRPr="005B17A9">
        <w:rPr>
          <w:highlight w:val="yellow"/>
        </w:rPr>
        <w:t>LAURENI,</w:t>
      </w:r>
      <w:r w:rsidRPr="005B17A9">
        <w:rPr>
          <w:spacing w:val="38"/>
          <w:highlight w:val="yellow"/>
        </w:rPr>
        <w:t xml:space="preserve"> </w:t>
      </w:r>
      <w:r w:rsidRPr="005B17A9">
        <w:rPr>
          <w:highlight w:val="yellow"/>
        </w:rPr>
        <w:t>M.</w:t>
      </w:r>
      <w:r w:rsidR="003130E3" w:rsidRPr="005B17A9">
        <w:rPr>
          <w:highlight w:val="yellow"/>
        </w:rPr>
        <w:t>;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WEISSBRODT,</w:t>
      </w:r>
      <w:r w:rsidRPr="005B17A9">
        <w:rPr>
          <w:spacing w:val="41"/>
          <w:highlight w:val="yellow"/>
        </w:rPr>
        <w:t xml:space="preserve"> </w:t>
      </w:r>
      <w:r w:rsidRPr="005B17A9">
        <w:rPr>
          <w:highlight w:val="yellow"/>
        </w:rPr>
        <w:t>D.G.</w:t>
      </w:r>
      <w:r w:rsidR="003130E3" w:rsidRPr="005B17A9">
        <w:rPr>
          <w:highlight w:val="yellow"/>
        </w:rPr>
        <w:t>;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VILLEZ,</w:t>
      </w:r>
      <w:r w:rsidRPr="005B17A9">
        <w:rPr>
          <w:spacing w:val="41"/>
          <w:highlight w:val="yellow"/>
        </w:rPr>
        <w:t xml:space="preserve"> </w:t>
      </w:r>
      <w:r w:rsidRPr="005B17A9">
        <w:rPr>
          <w:highlight w:val="yellow"/>
        </w:rPr>
        <w:t>K.</w:t>
      </w:r>
      <w:r w:rsidR="003130E3" w:rsidRPr="005B17A9">
        <w:rPr>
          <w:highlight w:val="yellow"/>
        </w:rPr>
        <w:t>;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ROBIN,</w:t>
      </w:r>
      <w:r w:rsidRPr="005B17A9">
        <w:rPr>
          <w:spacing w:val="41"/>
          <w:highlight w:val="yellow"/>
        </w:rPr>
        <w:t xml:space="preserve"> </w:t>
      </w:r>
      <w:r w:rsidRPr="005B17A9">
        <w:rPr>
          <w:highlight w:val="yellow"/>
        </w:rPr>
        <w:t>O.</w:t>
      </w:r>
      <w:r w:rsidR="003130E3" w:rsidRPr="005B17A9">
        <w:rPr>
          <w:highlight w:val="yellow"/>
        </w:rPr>
        <w:t>;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DE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JONG,</w:t>
      </w:r>
      <w:r w:rsidRPr="005B17A9">
        <w:rPr>
          <w:spacing w:val="41"/>
          <w:highlight w:val="yellow"/>
        </w:rPr>
        <w:t xml:space="preserve"> </w:t>
      </w:r>
      <w:r w:rsidRPr="005B17A9">
        <w:rPr>
          <w:highlight w:val="yellow"/>
        </w:rPr>
        <w:t>N.</w:t>
      </w:r>
      <w:r w:rsidR="003130E3" w:rsidRPr="005B17A9">
        <w:rPr>
          <w:highlight w:val="yellow"/>
        </w:rPr>
        <w:t>;</w:t>
      </w:r>
      <w:r w:rsidRPr="005B17A9">
        <w:rPr>
          <w:spacing w:val="40"/>
          <w:highlight w:val="yellow"/>
        </w:rPr>
        <w:t xml:space="preserve"> </w:t>
      </w:r>
      <w:r w:rsidRPr="005B17A9">
        <w:rPr>
          <w:highlight w:val="yellow"/>
        </w:rPr>
        <w:t>ROSENTHAL,</w:t>
      </w:r>
      <w:r w:rsidRPr="005B17A9">
        <w:rPr>
          <w:spacing w:val="41"/>
          <w:highlight w:val="yellow"/>
        </w:rPr>
        <w:t xml:space="preserve"> </w:t>
      </w:r>
      <w:r w:rsidRPr="005B17A9">
        <w:rPr>
          <w:spacing w:val="-5"/>
          <w:highlight w:val="yellow"/>
        </w:rPr>
        <w:t>A.</w:t>
      </w:r>
      <w:r w:rsidR="004D7E66" w:rsidRPr="005B17A9">
        <w:rPr>
          <w:spacing w:val="-5"/>
          <w:highlight w:val="yellow"/>
        </w:rPr>
        <w:t xml:space="preserve">; </w:t>
      </w:r>
      <w:r w:rsidRPr="005B17A9">
        <w:rPr>
          <w:highlight w:val="yellow"/>
        </w:rPr>
        <w:lastRenderedPageBreak/>
        <w:t>WELLS, G.</w:t>
      </w:r>
      <w:r w:rsidR="004D7E66" w:rsidRPr="005B17A9">
        <w:rPr>
          <w:highlight w:val="yellow"/>
        </w:rPr>
        <w:t>;</w:t>
      </w:r>
      <w:r w:rsidRPr="005B17A9">
        <w:rPr>
          <w:highlight w:val="yellow"/>
        </w:rPr>
        <w:t xml:space="preserve"> NIELSEN, J.L.</w:t>
      </w:r>
      <w:r w:rsidR="004D7E66" w:rsidRPr="005B17A9">
        <w:rPr>
          <w:highlight w:val="yellow"/>
        </w:rPr>
        <w:t>;</w:t>
      </w:r>
      <w:r w:rsidRPr="005B17A9">
        <w:rPr>
          <w:highlight w:val="yellow"/>
        </w:rPr>
        <w:t xml:space="preserve"> MORGENROTH, E.</w:t>
      </w:r>
      <w:r w:rsidR="004D7E66" w:rsidRPr="005B17A9">
        <w:rPr>
          <w:highlight w:val="yellow"/>
        </w:rPr>
        <w:t>;</w:t>
      </w:r>
      <w:r w:rsidRPr="005B17A9">
        <w:rPr>
          <w:highlight w:val="yellow"/>
        </w:rPr>
        <w:t xml:space="preserve"> JOSS, A. </w:t>
      </w:r>
      <w:r w:rsidRPr="005B17A9">
        <w:rPr>
          <w:iCs/>
          <w:highlight w:val="yellow"/>
        </w:rPr>
        <w:t>Biomass segregation between biofilm and flocs improves the control of nitrite-oxidizing bacteria in mainstream partial nitritation and anammox processes.</w:t>
      </w:r>
      <w:r w:rsidRPr="005B17A9">
        <w:rPr>
          <w:i/>
          <w:highlight w:val="yellow"/>
        </w:rPr>
        <w:t xml:space="preserve"> </w:t>
      </w:r>
      <w:r w:rsidRPr="005B17A9">
        <w:rPr>
          <w:i/>
          <w:iCs/>
          <w:highlight w:val="yellow"/>
        </w:rPr>
        <w:t>Water Research</w:t>
      </w:r>
      <w:r w:rsidRPr="005B17A9">
        <w:rPr>
          <w:highlight w:val="yellow"/>
        </w:rPr>
        <w:t xml:space="preserve">, v. 154, </w:t>
      </w:r>
      <w:r w:rsidR="004D7E66" w:rsidRPr="005B17A9">
        <w:rPr>
          <w:highlight w:val="yellow"/>
        </w:rPr>
        <w:t xml:space="preserve">2019, </w:t>
      </w:r>
      <w:r w:rsidRPr="005B17A9">
        <w:rPr>
          <w:highlight w:val="yellow"/>
        </w:rPr>
        <w:t>p. 104–116.</w:t>
      </w:r>
    </w:p>
    <w:p w14:paraId="3B49626C" w14:textId="218000C0" w:rsidR="00957D69" w:rsidRPr="005B17A9" w:rsidRDefault="00D14AFB" w:rsidP="009B16AA">
      <w:pPr>
        <w:pStyle w:val="Ttulo2"/>
        <w:tabs>
          <w:tab w:val="left" w:pos="513"/>
        </w:tabs>
        <w:ind w:left="231" w:right="77" w:firstLine="0"/>
        <w:rPr>
          <w:highlight w:val="yellow"/>
        </w:rPr>
      </w:pPr>
      <w:r w:rsidRPr="005B17A9">
        <w:rPr>
          <w:highlight w:val="yellow"/>
        </w:rPr>
        <w:t>LOTTI,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T.</w:t>
      </w:r>
      <w:r w:rsidR="004D7E66" w:rsidRPr="005B17A9">
        <w:rPr>
          <w:highlight w:val="yellow"/>
        </w:rPr>
        <w:t>;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KLEEREBEZEM,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R.</w:t>
      </w:r>
      <w:r w:rsidR="004D7E66" w:rsidRPr="005B17A9">
        <w:rPr>
          <w:highlight w:val="yellow"/>
        </w:rPr>
        <w:t>;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HU,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Z.</w:t>
      </w:r>
      <w:r w:rsidR="004D7E66" w:rsidRPr="005B17A9">
        <w:rPr>
          <w:highlight w:val="yellow"/>
        </w:rPr>
        <w:t>;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KARTAL,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B.</w:t>
      </w:r>
      <w:r w:rsidR="004D7E66" w:rsidRPr="005B17A9">
        <w:rPr>
          <w:highlight w:val="yellow"/>
        </w:rPr>
        <w:t>;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JETTEN,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M.S.M.</w:t>
      </w:r>
      <w:r w:rsidR="004D7E66" w:rsidRPr="005B17A9">
        <w:rPr>
          <w:highlight w:val="yellow"/>
        </w:rPr>
        <w:t>;</w:t>
      </w:r>
      <w:r w:rsidRPr="005B17A9">
        <w:rPr>
          <w:spacing w:val="47"/>
          <w:highlight w:val="yellow"/>
        </w:rPr>
        <w:t xml:space="preserve"> </w:t>
      </w:r>
      <w:r w:rsidRPr="005B17A9">
        <w:rPr>
          <w:highlight w:val="yellow"/>
        </w:rPr>
        <w:t>VAN</w:t>
      </w:r>
      <w:r w:rsidRPr="005B17A9">
        <w:rPr>
          <w:spacing w:val="47"/>
          <w:highlight w:val="yellow"/>
        </w:rPr>
        <w:t xml:space="preserve"> </w:t>
      </w:r>
      <w:r w:rsidRPr="005B17A9">
        <w:rPr>
          <w:spacing w:val="-2"/>
          <w:highlight w:val="yellow"/>
        </w:rPr>
        <w:t>LOOSDRECHT,</w:t>
      </w:r>
      <w:r w:rsidR="00C1302C" w:rsidRPr="005B17A9">
        <w:rPr>
          <w:spacing w:val="-2"/>
          <w:highlight w:val="yellow"/>
        </w:rPr>
        <w:t xml:space="preserve"> </w:t>
      </w:r>
      <w:r w:rsidRPr="005B17A9">
        <w:rPr>
          <w:highlight w:val="yellow"/>
        </w:rPr>
        <w:t xml:space="preserve">M.C.M. </w:t>
      </w:r>
      <w:r w:rsidRPr="005B17A9">
        <w:rPr>
          <w:iCs/>
          <w:highlight w:val="yellow"/>
        </w:rPr>
        <w:t>Simultaneous partial nitritation and anammox at low temperature with granular sludge.</w:t>
      </w:r>
      <w:r w:rsidRPr="005B17A9">
        <w:rPr>
          <w:i/>
          <w:highlight w:val="yellow"/>
        </w:rPr>
        <w:t xml:space="preserve"> </w:t>
      </w:r>
      <w:r w:rsidRPr="005B17A9">
        <w:rPr>
          <w:i/>
          <w:iCs/>
          <w:highlight w:val="yellow"/>
        </w:rPr>
        <w:t>Water</w:t>
      </w:r>
      <w:r w:rsidRPr="005B17A9">
        <w:rPr>
          <w:i/>
          <w:iCs/>
          <w:spacing w:val="80"/>
          <w:highlight w:val="yellow"/>
        </w:rPr>
        <w:t xml:space="preserve"> </w:t>
      </w:r>
      <w:r w:rsidRPr="005B17A9">
        <w:rPr>
          <w:i/>
          <w:iCs/>
          <w:highlight w:val="yellow"/>
        </w:rPr>
        <w:t>Research</w:t>
      </w:r>
      <w:r w:rsidRPr="005B17A9">
        <w:rPr>
          <w:highlight w:val="yellow"/>
        </w:rPr>
        <w:t xml:space="preserve">, v. 66, </w:t>
      </w:r>
      <w:r w:rsidR="0078284F" w:rsidRPr="005B17A9">
        <w:rPr>
          <w:highlight w:val="yellow"/>
        </w:rPr>
        <w:t xml:space="preserve">2014, </w:t>
      </w:r>
      <w:r w:rsidRPr="005B17A9">
        <w:rPr>
          <w:highlight w:val="yellow"/>
        </w:rPr>
        <w:t>p. 111–121.</w:t>
      </w:r>
    </w:p>
    <w:p w14:paraId="1CAD58C8" w14:textId="062533F5" w:rsidR="00957D69" w:rsidRPr="005B17A9" w:rsidRDefault="00D14AFB" w:rsidP="009B16AA">
      <w:pPr>
        <w:tabs>
          <w:tab w:val="left" w:pos="513"/>
        </w:tabs>
        <w:spacing w:before="1" w:line="228" w:lineRule="exact"/>
        <w:ind w:left="231"/>
        <w:jc w:val="both"/>
        <w:rPr>
          <w:highlight w:val="yellow"/>
        </w:rPr>
      </w:pPr>
      <w:r w:rsidRPr="005B17A9">
        <w:rPr>
          <w:sz w:val="20"/>
          <w:highlight w:val="yellow"/>
        </w:rPr>
        <w:t>MATĚJŮ,</w:t>
      </w:r>
      <w:r w:rsidRPr="005B17A9">
        <w:rPr>
          <w:spacing w:val="49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V.</w:t>
      </w:r>
      <w:r w:rsidR="00C1302C" w:rsidRPr="005B17A9">
        <w:rPr>
          <w:sz w:val="20"/>
          <w:highlight w:val="yellow"/>
        </w:rPr>
        <w:t>;</w:t>
      </w:r>
      <w:r w:rsidRPr="005B17A9">
        <w:rPr>
          <w:spacing w:val="5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ČIŽINSKÁ,</w:t>
      </w:r>
      <w:r w:rsidRPr="005B17A9">
        <w:rPr>
          <w:spacing w:val="5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S.</w:t>
      </w:r>
      <w:r w:rsidR="00C1302C" w:rsidRPr="005B17A9">
        <w:rPr>
          <w:sz w:val="20"/>
          <w:highlight w:val="yellow"/>
        </w:rPr>
        <w:t>;</w:t>
      </w:r>
      <w:r w:rsidRPr="005B17A9">
        <w:rPr>
          <w:spacing w:val="51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KREJČÍ,</w:t>
      </w:r>
      <w:r w:rsidRPr="005B17A9">
        <w:rPr>
          <w:spacing w:val="5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</w:t>
      </w:r>
      <w:r w:rsidR="00C1302C" w:rsidRPr="005B17A9">
        <w:rPr>
          <w:sz w:val="20"/>
          <w:highlight w:val="yellow"/>
        </w:rPr>
        <w:t>;</w:t>
      </w:r>
      <w:r w:rsidRPr="005B17A9">
        <w:rPr>
          <w:spacing w:val="5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JANOCH,</w:t>
      </w:r>
      <w:r w:rsidRPr="005B17A9">
        <w:rPr>
          <w:spacing w:val="5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T.</w:t>
      </w:r>
      <w:r w:rsidRPr="005B17A9">
        <w:rPr>
          <w:spacing w:val="5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Biological</w:t>
      </w:r>
      <w:r w:rsidRPr="005B17A9">
        <w:rPr>
          <w:iCs/>
          <w:spacing w:val="5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water</w:t>
      </w:r>
      <w:r w:rsidRPr="005B17A9">
        <w:rPr>
          <w:iCs/>
          <w:spacing w:val="5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denitrification-A</w:t>
      </w:r>
      <w:r w:rsidRPr="005B17A9">
        <w:rPr>
          <w:iCs/>
          <w:spacing w:val="51"/>
          <w:sz w:val="20"/>
          <w:highlight w:val="yellow"/>
        </w:rPr>
        <w:t xml:space="preserve"> </w:t>
      </w:r>
      <w:r w:rsidRPr="005B17A9">
        <w:rPr>
          <w:iCs/>
          <w:spacing w:val="-2"/>
          <w:sz w:val="20"/>
          <w:highlight w:val="yellow"/>
        </w:rPr>
        <w:t>review.</w:t>
      </w:r>
      <w:r w:rsidR="00FB59D1"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/>
          <w:iCs/>
          <w:highlight w:val="yellow"/>
        </w:rPr>
        <w:t>Enzyme</w:t>
      </w:r>
      <w:r w:rsidRPr="005B17A9">
        <w:rPr>
          <w:i/>
          <w:iCs/>
          <w:spacing w:val="-7"/>
          <w:highlight w:val="yellow"/>
        </w:rPr>
        <w:t xml:space="preserve"> </w:t>
      </w:r>
      <w:r w:rsidRPr="005B17A9">
        <w:rPr>
          <w:i/>
          <w:iCs/>
          <w:highlight w:val="yellow"/>
        </w:rPr>
        <w:t>and</w:t>
      </w:r>
      <w:r w:rsidRPr="005B17A9">
        <w:rPr>
          <w:i/>
          <w:iCs/>
          <w:spacing w:val="-5"/>
          <w:highlight w:val="yellow"/>
        </w:rPr>
        <w:t xml:space="preserve"> </w:t>
      </w:r>
      <w:r w:rsidRPr="005B17A9">
        <w:rPr>
          <w:i/>
          <w:iCs/>
          <w:highlight w:val="yellow"/>
        </w:rPr>
        <w:t>Microbial</w:t>
      </w:r>
      <w:r w:rsidRPr="005B17A9">
        <w:rPr>
          <w:i/>
          <w:iCs/>
          <w:spacing w:val="-5"/>
          <w:highlight w:val="yellow"/>
        </w:rPr>
        <w:t xml:space="preserve"> </w:t>
      </w:r>
      <w:r w:rsidRPr="005B17A9">
        <w:rPr>
          <w:i/>
          <w:iCs/>
          <w:highlight w:val="yellow"/>
        </w:rPr>
        <w:t>Technology</w:t>
      </w:r>
      <w:r w:rsidRPr="005B17A9">
        <w:rPr>
          <w:highlight w:val="yellow"/>
        </w:rPr>
        <w:t>,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v.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14,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n.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3,</w:t>
      </w:r>
      <w:r w:rsidRPr="005B17A9">
        <w:rPr>
          <w:spacing w:val="-5"/>
          <w:highlight w:val="yellow"/>
        </w:rPr>
        <w:t xml:space="preserve"> </w:t>
      </w:r>
      <w:r w:rsidR="00FB59D1" w:rsidRPr="005B17A9">
        <w:rPr>
          <w:spacing w:val="-2"/>
          <w:highlight w:val="yellow"/>
        </w:rPr>
        <w:t xml:space="preserve">1992, </w:t>
      </w:r>
      <w:r w:rsidRPr="005B17A9">
        <w:rPr>
          <w:highlight w:val="yellow"/>
        </w:rPr>
        <w:t>p.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170–183</w:t>
      </w:r>
      <w:r w:rsidRPr="005B17A9">
        <w:rPr>
          <w:spacing w:val="-2"/>
          <w:highlight w:val="yellow"/>
        </w:rPr>
        <w:t>.</w:t>
      </w:r>
    </w:p>
    <w:p w14:paraId="4133BE5B" w14:textId="16028205" w:rsidR="00957D69" w:rsidRPr="005B17A9" w:rsidRDefault="00D14AFB" w:rsidP="009B16AA">
      <w:pPr>
        <w:tabs>
          <w:tab w:val="left" w:pos="514"/>
        </w:tabs>
        <w:ind w:left="230" w:righ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MCCARTY, P.L.</w:t>
      </w:r>
      <w:r w:rsidR="00B3284D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BAE, J.</w:t>
      </w:r>
      <w:r w:rsidR="00B3284D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KIM, J. </w:t>
      </w:r>
      <w:r w:rsidRPr="005B17A9">
        <w:rPr>
          <w:iCs/>
          <w:sz w:val="20"/>
          <w:highlight w:val="yellow"/>
        </w:rPr>
        <w:t>Domestic wastewater treatment as a net energy producer-can this be achieved?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Environmental Science and Technology</w:t>
      </w:r>
      <w:r w:rsidRPr="005B17A9">
        <w:rPr>
          <w:sz w:val="20"/>
          <w:highlight w:val="yellow"/>
        </w:rPr>
        <w:t xml:space="preserve">, v. 45, n. 17, </w:t>
      </w:r>
      <w:r w:rsidR="00B3284D" w:rsidRPr="005B17A9">
        <w:rPr>
          <w:sz w:val="20"/>
          <w:highlight w:val="yellow"/>
        </w:rPr>
        <w:t xml:space="preserve">2011, </w:t>
      </w:r>
      <w:r w:rsidRPr="005B17A9">
        <w:rPr>
          <w:sz w:val="20"/>
          <w:highlight w:val="yellow"/>
        </w:rPr>
        <w:t>p. 7100–7106,</w:t>
      </w:r>
    </w:p>
    <w:p w14:paraId="0B304B4E" w14:textId="1BCD9C63" w:rsidR="00957D69" w:rsidRPr="005B17A9" w:rsidRDefault="00D14AFB" w:rsidP="00BD6338">
      <w:pPr>
        <w:tabs>
          <w:tab w:val="left" w:pos="513"/>
        </w:tabs>
        <w:ind w:lef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MULDER,</w:t>
      </w:r>
      <w:r w:rsidRPr="005B17A9">
        <w:rPr>
          <w:spacing w:val="15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A.;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VAN</w:t>
      </w:r>
      <w:r w:rsidRPr="005B17A9">
        <w:rPr>
          <w:spacing w:val="1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DE</w:t>
      </w:r>
      <w:r w:rsidRPr="005B17A9">
        <w:rPr>
          <w:spacing w:val="16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GRAAF,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A.;</w:t>
      </w:r>
      <w:r w:rsidRPr="005B17A9">
        <w:rPr>
          <w:spacing w:val="1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ROBERTSON,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L.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A.;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KUENEN,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J.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G.</w:t>
      </w:r>
      <w:r w:rsidRPr="005B17A9">
        <w:rPr>
          <w:spacing w:val="1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Anaerobic</w:t>
      </w:r>
      <w:r w:rsidRPr="005B17A9">
        <w:rPr>
          <w:iCs/>
          <w:spacing w:val="17"/>
          <w:sz w:val="20"/>
          <w:highlight w:val="yellow"/>
        </w:rPr>
        <w:t xml:space="preserve"> </w:t>
      </w:r>
      <w:r w:rsidRPr="005B17A9">
        <w:rPr>
          <w:iCs/>
          <w:spacing w:val="-2"/>
          <w:sz w:val="20"/>
          <w:highlight w:val="yellow"/>
        </w:rPr>
        <w:t>ammonium</w:t>
      </w:r>
      <w:r w:rsidR="00BD6338"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oxidation discovered in a denitrifying fluidized bed reactor</w:t>
      </w:r>
      <w:r w:rsidRPr="005B17A9">
        <w:rPr>
          <w:i/>
          <w:sz w:val="20"/>
          <w:highlight w:val="yellow"/>
        </w:rPr>
        <w:t xml:space="preserve">. </w:t>
      </w:r>
      <w:r w:rsidRPr="005B17A9">
        <w:rPr>
          <w:i/>
          <w:iCs/>
          <w:sz w:val="20"/>
          <w:highlight w:val="yellow"/>
        </w:rPr>
        <w:t>FEMS Microbiology Ecology</w:t>
      </w:r>
      <w:r w:rsidRPr="005B17A9">
        <w:rPr>
          <w:sz w:val="20"/>
          <w:highlight w:val="yellow"/>
        </w:rPr>
        <w:t>, v. 16, n. 3,</w:t>
      </w:r>
      <w:r w:rsidR="0076763C" w:rsidRPr="005B17A9">
        <w:rPr>
          <w:sz w:val="20"/>
          <w:highlight w:val="yellow"/>
        </w:rPr>
        <w:t xml:space="preserve"> 1995,</w:t>
      </w:r>
      <w:r w:rsidRPr="005B17A9">
        <w:rPr>
          <w:sz w:val="20"/>
          <w:highlight w:val="yellow"/>
        </w:rPr>
        <w:t xml:space="preserve"> p. 177–183.</w:t>
      </w:r>
    </w:p>
    <w:p w14:paraId="56C5A74E" w14:textId="797B26FC" w:rsidR="00957D69" w:rsidRPr="005B17A9" w:rsidRDefault="00D14AFB" w:rsidP="009B16AA">
      <w:pPr>
        <w:tabs>
          <w:tab w:val="left" w:pos="514"/>
        </w:tabs>
        <w:ind w:left="230" w:right="228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PENG, Y.Z.</w:t>
      </w:r>
      <w:r w:rsidR="0076763C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MA, Y.</w:t>
      </w:r>
      <w:r w:rsidR="0076763C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WANG, S.Y. </w:t>
      </w:r>
      <w:r w:rsidRPr="005B17A9">
        <w:rPr>
          <w:iCs/>
          <w:sz w:val="20"/>
          <w:highlight w:val="yellow"/>
        </w:rPr>
        <w:t>Denitrification potential enhancement by addition of external carbon sources in a pre-denitrification process.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Journal of Environmental Sciences</w:t>
      </w:r>
      <w:r w:rsidRPr="005B17A9">
        <w:rPr>
          <w:sz w:val="20"/>
          <w:highlight w:val="yellow"/>
        </w:rPr>
        <w:t xml:space="preserve">, v. 19, n. 3, </w:t>
      </w:r>
      <w:r w:rsidR="009C4AA9" w:rsidRPr="005B17A9">
        <w:rPr>
          <w:sz w:val="20"/>
          <w:highlight w:val="yellow"/>
        </w:rPr>
        <w:t xml:space="preserve">2007, </w:t>
      </w:r>
      <w:r w:rsidRPr="005B17A9">
        <w:rPr>
          <w:sz w:val="20"/>
          <w:highlight w:val="yellow"/>
        </w:rPr>
        <w:t>p. 284–289.</w:t>
      </w:r>
    </w:p>
    <w:p w14:paraId="41E5C3A0" w14:textId="5D070ACB" w:rsidR="00957D69" w:rsidRPr="005B17A9" w:rsidRDefault="00D14AFB" w:rsidP="009B16AA">
      <w:pPr>
        <w:tabs>
          <w:tab w:val="left" w:pos="513"/>
        </w:tabs>
        <w:spacing w:before="1"/>
        <w:ind w:lef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QIU,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LI,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Z.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HU,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Y.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SHI,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LIU,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R.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SHI,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CHEN,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L.</w:t>
      </w:r>
      <w:r w:rsidR="00BE7CF2" w:rsidRPr="005B17A9">
        <w:rPr>
          <w:sz w:val="20"/>
          <w:highlight w:val="yellow"/>
        </w:rPr>
        <w:t>;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ZHAN,</w:t>
      </w:r>
      <w:r w:rsidRPr="005B17A9">
        <w:rPr>
          <w:spacing w:val="8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X.</w:t>
      </w:r>
      <w:r w:rsidRPr="005B17A9">
        <w:rPr>
          <w:spacing w:val="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What’s</w:t>
      </w:r>
      <w:r w:rsidRPr="005B17A9">
        <w:rPr>
          <w:iCs/>
          <w:spacing w:val="8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the</w:t>
      </w:r>
      <w:r w:rsidRPr="005B17A9">
        <w:rPr>
          <w:iCs/>
          <w:spacing w:val="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best</w:t>
      </w:r>
      <w:r w:rsidRPr="005B17A9">
        <w:rPr>
          <w:iCs/>
          <w:spacing w:val="8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way</w:t>
      </w:r>
      <w:r w:rsidRPr="005B17A9">
        <w:rPr>
          <w:iCs/>
          <w:spacing w:val="7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to</w:t>
      </w:r>
      <w:r w:rsidRPr="005B17A9">
        <w:rPr>
          <w:iCs/>
          <w:spacing w:val="8"/>
          <w:sz w:val="20"/>
          <w:highlight w:val="yellow"/>
        </w:rPr>
        <w:t xml:space="preserve"> </w:t>
      </w:r>
      <w:r w:rsidRPr="005B17A9">
        <w:rPr>
          <w:iCs/>
          <w:spacing w:val="-2"/>
          <w:sz w:val="20"/>
          <w:highlight w:val="yellow"/>
        </w:rPr>
        <w:t>achieve</w:t>
      </w:r>
      <w:r w:rsidR="009B16AA"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 xml:space="preserve">successful mainstream partial nitritation-anammox application? </w:t>
      </w:r>
      <w:r w:rsidRPr="005B17A9">
        <w:rPr>
          <w:i/>
          <w:iCs/>
          <w:sz w:val="20"/>
          <w:highlight w:val="yellow"/>
        </w:rPr>
        <w:t>Critical Reviews in Environmental Science and Technology</w:t>
      </w:r>
      <w:r w:rsidRPr="005B17A9">
        <w:rPr>
          <w:sz w:val="20"/>
          <w:highlight w:val="yellow"/>
        </w:rPr>
        <w:t xml:space="preserve">, v. 51, n. 10, </w:t>
      </w:r>
      <w:r w:rsidR="00BE7CF2" w:rsidRPr="005B17A9">
        <w:rPr>
          <w:sz w:val="20"/>
          <w:highlight w:val="yellow"/>
        </w:rPr>
        <w:t xml:space="preserve">2021, </w:t>
      </w:r>
      <w:r w:rsidRPr="005B17A9">
        <w:rPr>
          <w:sz w:val="20"/>
          <w:highlight w:val="yellow"/>
        </w:rPr>
        <w:t>p. 1045–1077.</w:t>
      </w:r>
    </w:p>
    <w:p w14:paraId="4BE54485" w14:textId="29B7150B" w:rsidR="00957D69" w:rsidRPr="005B17A9" w:rsidRDefault="00D14AFB" w:rsidP="009B16AA">
      <w:pPr>
        <w:pStyle w:val="Ttulo2"/>
        <w:tabs>
          <w:tab w:val="left" w:pos="513"/>
        </w:tabs>
        <w:spacing w:before="4" w:line="235" w:lineRule="auto"/>
        <w:ind w:left="231" w:right="230" w:firstLine="0"/>
        <w:rPr>
          <w:highlight w:val="yellow"/>
        </w:rPr>
      </w:pPr>
      <w:r w:rsidRPr="005B17A9">
        <w:rPr>
          <w:highlight w:val="yellow"/>
        </w:rPr>
        <w:t>SLIEKERS,</w:t>
      </w:r>
      <w:r w:rsidRPr="005B17A9">
        <w:rPr>
          <w:spacing w:val="14"/>
          <w:highlight w:val="yellow"/>
        </w:rPr>
        <w:t xml:space="preserve"> </w:t>
      </w:r>
      <w:r w:rsidRPr="005B17A9">
        <w:rPr>
          <w:highlight w:val="yellow"/>
        </w:rPr>
        <w:t>A.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O.</w:t>
      </w:r>
      <w:r w:rsidR="004D336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DERWORT,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N.</w:t>
      </w:r>
      <w:r w:rsidR="004D336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GOMEZ,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J.L.C.</w:t>
      </w:r>
      <w:r w:rsidR="004D336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STROUS,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M.</w:t>
      </w:r>
      <w:r w:rsidR="004D3369" w:rsidRPr="005B17A9">
        <w:rPr>
          <w:highlight w:val="yellow"/>
        </w:rPr>
        <w:t>;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KUENEN,</w:t>
      </w:r>
      <w:r w:rsidRPr="005B17A9">
        <w:rPr>
          <w:spacing w:val="16"/>
          <w:highlight w:val="yellow"/>
        </w:rPr>
        <w:t xml:space="preserve"> </w:t>
      </w:r>
      <w:r w:rsidRPr="005B17A9">
        <w:rPr>
          <w:highlight w:val="yellow"/>
        </w:rPr>
        <w:t>J.G.</w:t>
      </w:r>
      <w:r w:rsidR="004D3369" w:rsidRPr="005B17A9">
        <w:rPr>
          <w:highlight w:val="yellow"/>
        </w:rPr>
        <w:t>;</w:t>
      </w:r>
      <w:r w:rsidRPr="005B17A9">
        <w:rPr>
          <w:spacing w:val="17"/>
          <w:highlight w:val="yellow"/>
        </w:rPr>
        <w:t xml:space="preserve"> </w:t>
      </w:r>
      <w:r w:rsidRPr="005B17A9">
        <w:rPr>
          <w:highlight w:val="yellow"/>
        </w:rPr>
        <w:t>JETTEN,</w:t>
      </w:r>
      <w:r w:rsidRPr="005B17A9">
        <w:rPr>
          <w:spacing w:val="17"/>
          <w:highlight w:val="yellow"/>
        </w:rPr>
        <w:t xml:space="preserve"> </w:t>
      </w:r>
      <w:r w:rsidRPr="005B17A9">
        <w:rPr>
          <w:spacing w:val="-2"/>
          <w:highlight w:val="yellow"/>
        </w:rPr>
        <w:t>M.S.M.</w:t>
      </w:r>
      <w:r w:rsidR="004D3369" w:rsidRPr="005B17A9">
        <w:rPr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Completely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autotrophic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nitrogen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removal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over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nitrite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in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one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single</w:t>
      </w:r>
      <w:r w:rsidRPr="005B17A9">
        <w:rPr>
          <w:iCs/>
          <w:spacing w:val="-2"/>
          <w:highlight w:val="yellow"/>
        </w:rPr>
        <w:t xml:space="preserve"> </w:t>
      </w:r>
      <w:r w:rsidRPr="005B17A9">
        <w:rPr>
          <w:iCs/>
          <w:highlight w:val="yellow"/>
        </w:rPr>
        <w:t>reactor</w:t>
      </w:r>
      <w:r w:rsidRPr="005B17A9">
        <w:rPr>
          <w:i/>
          <w:highlight w:val="yellow"/>
        </w:rPr>
        <w:t>.</w:t>
      </w:r>
      <w:r w:rsidRPr="005B17A9">
        <w:rPr>
          <w:i/>
          <w:spacing w:val="-1"/>
          <w:highlight w:val="yellow"/>
        </w:rPr>
        <w:t xml:space="preserve"> </w:t>
      </w:r>
      <w:r w:rsidRPr="005B17A9">
        <w:rPr>
          <w:i/>
          <w:iCs/>
          <w:highlight w:val="yellow"/>
        </w:rPr>
        <w:t>Water</w:t>
      </w:r>
      <w:r w:rsidRPr="005B17A9">
        <w:rPr>
          <w:i/>
          <w:iCs/>
          <w:spacing w:val="-2"/>
          <w:highlight w:val="yellow"/>
        </w:rPr>
        <w:t xml:space="preserve"> </w:t>
      </w:r>
      <w:r w:rsidRPr="005B17A9">
        <w:rPr>
          <w:i/>
          <w:iCs/>
          <w:highlight w:val="yellow"/>
        </w:rPr>
        <w:t>Research</w:t>
      </w:r>
      <w:r w:rsidRPr="005B17A9">
        <w:rPr>
          <w:highlight w:val="yellow"/>
        </w:rPr>
        <w:t>,</w:t>
      </w:r>
      <w:r w:rsidRPr="005B17A9">
        <w:rPr>
          <w:spacing w:val="-2"/>
          <w:highlight w:val="yellow"/>
        </w:rPr>
        <w:t xml:space="preserve"> </w:t>
      </w:r>
      <w:r w:rsidRPr="005B17A9">
        <w:rPr>
          <w:highlight w:val="yellow"/>
        </w:rPr>
        <w:t>v.</w:t>
      </w:r>
      <w:r w:rsidRPr="005B17A9">
        <w:rPr>
          <w:spacing w:val="-2"/>
          <w:highlight w:val="yellow"/>
        </w:rPr>
        <w:t xml:space="preserve"> </w:t>
      </w:r>
      <w:r w:rsidRPr="005B17A9">
        <w:rPr>
          <w:highlight w:val="yellow"/>
        </w:rPr>
        <w:t>36,</w:t>
      </w:r>
      <w:r w:rsidRPr="005B17A9">
        <w:rPr>
          <w:spacing w:val="-2"/>
          <w:highlight w:val="yellow"/>
        </w:rPr>
        <w:t xml:space="preserve"> </w:t>
      </w:r>
      <w:r w:rsidRPr="005B17A9">
        <w:rPr>
          <w:highlight w:val="yellow"/>
        </w:rPr>
        <w:t>n.</w:t>
      </w:r>
      <w:r w:rsidRPr="005B17A9">
        <w:rPr>
          <w:spacing w:val="-2"/>
          <w:highlight w:val="yellow"/>
        </w:rPr>
        <w:t xml:space="preserve"> </w:t>
      </w:r>
      <w:r w:rsidRPr="005B17A9">
        <w:rPr>
          <w:highlight w:val="yellow"/>
        </w:rPr>
        <w:t>10,</w:t>
      </w:r>
      <w:r w:rsidRPr="005B17A9">
        <w:rPr>
          <w:spacing w:val="-1"/>
          <w:highlight w:val="yellow"/>
        </w:rPr>
        <w:t xml:space="preserve"> </w:t>
      </w:r>
      <w:r w:rsidR="004D3369" w:rsidRPr="005B17A9">
        <w:rPr>
          <w:highlight w:val="yellow"/>
        </w:rPr>
        <w:t xml:space="preserve">2002, </w:t>
      </w:r>
      <w:r w:rsidRPr="005B17A9">
        <w:rPr>
          <w:highlight w:val="yellow"/>
        </w:rPr>
        <w:t>p. 2475–2482,.</w:t>
      </w:r>
    </w:p>
    <w:p w14:paraId="358287D8" w14:textId="3A046E98" w:rsidR="00957D69" w:rsidRPr="005B17A9" w:rsidRDefault="00D14AFB" w:rsidP="009B16AA">
      <w:pPr>
        <w:tabs>
          <w:tab w:val="left" w:pos="514"/>
        </w:tabs>
        <w:spacing w:before="2"/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STROUS, M.</w:t>
      </w:r>
      <w:r w:rsidR="00036955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HEIJNEN, J.J.</w:t>
      </w:r>
      <w:r w:rsidR="00036955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KUENEN, J.G.</w:t>
      </w:r>
      <w:r w:rsidR="00036955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JETTEN, M.S.M. </w:t>
      </w:r>
      <w:r w:rsidRPr="005B17A9">
        <w:rPr>
          <w:iCs/>
          <w:sz w:val="20"/>
          <w:highlight w:val="yellow"/>
        </w:rPr>
        <w:t>The sequencing batch reactor as a powerful tool for the study of slowly growing anaerobic ammonium-oxidizing microorganisms.</w:t>
      </w:r>
      <w:r w:rsidRPr="005B17A9">
        <w:rPr>
          <w:i/>
          <w:iCs/>
          <w:sz w:val="20"/>
          <w:highlight w:val="yellow"/>
        </w:rPr>
        <w:t xml:space="preserve"> Applied Microbiology and Biotechnology</w:t>
      </w:r>
      <w:r w:rsidRPr="005B17A9">
        <w:rPr>
          <w:sz w:val="20"/>
          <w:highlight w:val="yellow"/>
        </w:rPr>
        <w:t xml:space="preserve">, v. 50, n. 5, </w:t>
      </w:r>
      <w:r w:rsidR="00036955" w:rsidRPr="005B17A9">
        <w:rPr>
          <w:sz w:val="20"/>
          <w:highlight w:val="yellow"/>
        </w:rPr>
        <w:t>1998,</w:t>
      </w:r>
      <w:r w:rsidRPr="005B17A9">
        <w:rPr>
          <w:sz w:val="20"/>
          <w:highlight w:val="yellow"/>
        </w:rPr>
        <w:t>p. 589–596.</w:t>
      </w:r>
    </w:p>
    <w:p w14:paraId="57E24BCA" w14:textId="77777777" w:rsidR="000B433D" w:rsidRPr="005B17A9" w:rsidRDefault="00D14AFB" w:rsidP="000B433D">
      <w:pPr>
        <w:tabs>
          <w:tab w:val="left" w:pos="514"/>
        </w:tabs>
        <w:spacing w:before="1"/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TOMASZEWSKI,</w:t>
      </w:r>
      <w:r w:rsidRPr="005B17A9">
        <w:rPr>
          <w:spacing w:val="-1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M.</w:t>
      </w:r>
      <w:r w:rsidR="00036955" w:rsidRPr="005B17A9">
        <w:rPr>
          <w:sz w:val="20"/>
          <w:highlight w:val="yellow"/>
        </w:rPr>
        <w:t>;</w:t>
      </w:r>
      <w:r w:rsidRPr="005B17A9">
        <w:rPr>
          <w:spacing w:val="-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CEMA,</w:t>
      </w:r>
      <w:r w:rsidRPr="005B17A9">
        <w:rPr>
          <w:spacing w:val="-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G.</w:t>
      </w:r>
      <w:r w:rsidR="00036955" w:rsidRPr="005B17A9">
        <w:rPr>
          <w:sz w:val="20"/>
          <w:highlight w:val="yellow"/>
        </w:rPr>
        <w:t>;</w:t>
      </w:r>
      <w:r w:rsidRPr="005B17A9">
        <w:rPr>
          <w:spacing w:val="-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ZIEMBIŃSKA-BUCZYŃSKA,</w:t>
      </w:r>
      <w:r w:rsidRPr="005B17A9">
        <w:rPr>
          <w:spacing w:val="-2"/>
          <w:sz w:val="20"/>
          <w:highlight w:val="yellow"/>
        </w:rPr>
        <w:t xml:space="preserve"> </w:t>
      </w:r>
      <w:r w:rsidRPr="005B17A9">
        <w:rPr>
          <w:sz w:val="20"/>
          <w:highlight w:val="yellow"/>
        </w:rPr>
        <w:t>A.</w:t>
      </w:r>
      <w:r w:rsidRPr="005B17A9">
        <w:rPr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Influence</w:t>
      </w:r>
      <w:r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of</w:t>
      </w:r>
      <w:r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temperature</w:t>
      </w:r>
      <w:r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and</w:t>
      </w:r>
      <w:r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pH</w:t>
      </w:r>
      <w:r w:rsidRPr="005B17A9">
        <w:rPr>
          <w:iCs/>
          <w:spacing w:val="-2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on the anammox process: A review and meta-analysis.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Chemosphere</w:t>
      </w:r>
      <w:r w:rsidRPr="005B17A9">
        <w:rPr>
          <w:sz w:val="20"/>
          <w:highlight w:val="yellow"/>
        </w:rPr>
        <w:t xml:space="preserve">, v. 182, </w:t>
      </w:r>
      <w:r w:rsidR="00036955" w:rsidRPr="005B17A9">
        <w:rPr>
          <w:sz w:val="20"/>
          <w:highlight w:val="yellow"/>
        </w:rPr>
        <w:t>2017</w:t>
      </w:r>
      <w:r w:rsidR="00E51A9F" w:rsidRPr="005B17A9">
        <w:rPr>
          <w:sz w:val="20"/>
          <w:highlight w:val="yellow"/>
        </w:rPr>
        <w:t xml:space="preserve">, </w:t>
      </w:r>
      <w:r w:rsidRPr="005B17A9">
        <w:rPr>
          <w:sz w:val="20"/>
          <w:highlight w:val="yellow"/>
        </w:rPr>
        <w:t>p. 203–214.</w:t>
      </w:r>
    </w:p>
    <w:p w14:paraId="32D5E0CA" w14:textId="0E04594B" w:rsidR="00957D69" w:rsidRPr="005B17A9" w:rsidRDefault="00D14AFB" w:rsidP="000B433D">
      <w:pPr>
        <w:tabs>
          <w:tab w:val="left" w:pos="514"/>
        </w:tabs>
        <w:spacing w:before="1"/>
        <w:ind w:left="230" w:right="229"/>
        <w:jc w:val="both"/>
        <w:rPr>
          <w:highlight w:val="yellow"/>
        </w:rPr>
      </w:pPr>
      <w:r w:rsidRPr="005B17A9">
        <w:rPr>
          <w:highlight w:val="yellow"/>
        </w:rPr>
        <w:t>VAN</w:t>
      </w:r>
      <w:r w:rsidRPr="005B17A9">
        <w:rPr>
          <w:spacing w:val="44"/>
          <w:highlight w:val="yellow"/>
        </w:rPr>
        <w:t xml:space="preserve"> </w:t>
      </w:r>
      <w:r w:rsidRPr="005B17A9">
        <w:rPr>
          <w:highlight w:val="yellow"/>
        </w:rPr>
        <w:t>DE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GRAAF,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A.A.</w:t>
      </w:r>
      <w:r w:rsidR="00577C33" w:rsidRPr="005B17A9">
        <w:rPr>
          <w:highlight w:val="yellow"/>
        </w:rPr>
        <w:t>;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DE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BRUIJN,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P.</w:t>
      </w:r>
      <w:r w:rsidR="00577C33" w:rsidRPr="005B17A9">
        <w:rPr>
          <w:highlight w:val="yellow"/>
        </w:rPr>
        <w:t>;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ROBERTSON,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L.A.</w:t>
      </w:r>
      <w:r w:rsidR="00577C33" w:rsidRPr="005B17A9">
        <w:rPr>
          <w:highlight w:val="yellow"/>
        </w:rPr>
        <w:t>;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JETTEN,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M.S.M.</w:t>
      </w:r>
      <w:r w:rsidR="00577C33" w:rsidRPr="005B17A9">
        <w:rPr>
          <w:highlight w:val="yellow"/>
        </w:rPr>
        <w:t>;</w:t>
      </w:r>
      <w:r w:rsidRPr="005B17A9">
        <w:rPr>
          <w:spacing w:val="45"/>
          <w:highlight w:val="yellow"/>
        </w:rPr>
        <w:t xml:space="preserve"> </w:t>
      </w:r>
      <w:r w:rsidRPr="005B17A9">
        <w:rPr>
          <w:highlight w:val="yellow"/>
        </w:rPr>
        <w:t>KUENEN,</w:t>
      </w:r>
      <w:r w:rsidRPr="005B17A9">
        <w:rPr>
          <w:spacing w:val="46"/>
          <w:highlight w:val="yellow"/>
        </w:rPr>
        <w:t xml:space="preserve"> </w:t>
      </w:r>
      <w:r w:rsidRPr="005B17A9">
        <w:rPr>
          <w:spacing w:val="-4"/>
          <w:highlight w:val="yellow"/>
        </w:rPr>
        <w:t>J.G.</w:t>
      </w:r>
      <w:r w:rsidR="00577C33" w:rsidRPr="005B17A9">
        <w:rPr>
          <w:spacing w:val="-4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Autotrophic</w:t>
      </w:r>
      <w:r w:rsidRPr="005B17A9">
        <w:rPr>
          <w:iCs/>
          <w:spacing w:val="58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growth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of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anaerobic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ammonium-oxidizing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micro-organisms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in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a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fluidized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z w:val="20"/>
          <w:highlight w:val="yellow"/>
        </w:rPr>
        <w:t>bed</w:t>
      </w:r>
      <w:r w:rsidRPr="005B17A9">
        <w:rPr>
          <w:iCs/>
          <w:spacing w:val="61"/>
          <w:sz w:val="20"/>
          <w:highlight w:val="yellow"/>
        </w:rPr>
        <w:t xml:space="preserve"> </w:t>
      </w:r>
      <w:r w:rsidRPr="005B17A9">
        <w:rPr>
          <w:iCs/>
          <w:spacing w:val="-2"/>
          <w:sz w:val="20"/>
          <w:highlight w:val="yellow"/>
        </w:rPr>
        <w:t>reactor.</w:t>
      </w:r>
      <w:r w:rsidR="00577C33" w:rsidRPr="005B17A9">
        <w:rPr>
          <w:iCs/>
          <w:spacing w:val="-2"/>
          <w:highlight w:val="yellow"/>
        </w:rPr>
        <w:t xml:space="preserve"> </w:t>
      </w:r>
      <w:r w:rsidRPr="005B17A9">
        <w:rPr>
          <w:i/>
          <w:iCs/>
          <w:highlight w:val="yellow"/>
        </w:rPr>
        <w:t>Microbiology</w:t>
      </w:r>
      <w:r w:rsidRPr="005B17A9">
        <w:rPr>
          <w:highlight w:val="yellow"/>
        </w:rPr>
        <w:t>,</w:t>
      </w:r>
      <w:r w:rsidRPr="005B17A9">
        <w:rPr>
          <w:spacing w:val="-6"/>
          <w:highlight w:val="yellow"/>
        </w:rPr>
        <w:t xml:space="preserve"> </w:t>
      </w:r>
      <w:r w:rsidRPr="005B17A9">
        <w:rPr>
          <w:highlight w:val="yellow"/>
        </w:rPr>
        <w:t>v.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142,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n.</w:t>
      </w:r>
      <w:r w:rsidRPr="005B17A9">
        <w:rPr>
          <w:spacing w:val="-6"/>
          <w:highlight w:val="yellow"/>
        </w:rPr>
        <w:t xml:space="preserve"> </w:t>
      </w:r>
      <w:r w:rsidRPr="005B17A9">
        <w:rPr>
          <w:highlight w:val="yellow"/>
        </w:rPr>
        <w:t>8,</w:t>
      </w:r>
      <w:r w:rsidRPr="005B17A9">
        <w:rPr>
          <w:spacing w:val="-5"/>
          <w:highlight w:val="yellow"/>
        </w:rPr>
        <w:t xml:space="preserve"> </w:t>
      </w:r>
      <w:r w:rsidR="00B30790" w:rsidRPr="005B17A9">
        <w:rPr>
          <w:spacing w:val="-2"/>
          <w:highlight w:val="yellow"/>
        </w:rPr>
        <w:t xml:space="preserve">1996, </w:t>
      </w:r>
      <w:r w:rsidRPr="005B17A9">
        <w:rPr>
          <w:highlight w:val="yellow"/>
        </w:rPr>
        <w:t>p.</w:t>
      </w:r>
      <w:r w:rsidRPr="005B17A9">
        <w:rPr>
          <w:spacing w:val="-5"/>
          <w:highlight w:val="yellow"/>
        </w:rPr>
        <w:t xml:space="preserve"> </w:t>
      </w:r>
      <w:r w:rsidRPr="005B17A9">
        <w:rPr>
          <w:highlight w:val="yellow"/>
        </w:rPr>
        <w:t>2187–2196</w:t>
      </w:r>
      <w:r w:rsidRPr="005B17A9">
        <w:rPr>
          <w:spacing w:val="-2"/>
          <w:highlight w:val="yellow"/>
        </w:rPr>
        <w:t>.</w:t>
      </w:r>
    </w:p>
    <w:p w14:paraId="521D7555" w14:textId="624D49BE" w:rsidR="00957D69" w:rsidRPr="005B17A9" w:rsidRDefault="00D14AFB" w:rsidP="009B16AA">
      <w:pPr>
        <w:tabs>
          <w:tab w:val="left" w:pos="514"/>
        </w:tabs>
        <w:ind w:left="230" w:right="230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VON SPERLING, M.</w:t>
      </w:r>
      <w:r w:rsidR="00333C25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CHERNICHARO, C.A.L. </w:t>
      </w:r>
      <w:r w:rsidRPr="005B17A9">
        <w:rPr>
          <w:i/>
          <w:iCs/>
          <w:sz w:val="20"/>
          <w:highlight w:val="yellow"/>
        </w:rPr>
        <w:t>Biological Wastewater Treatment in Warm Climate Regions</w:t>
      </w:r>
      <w:r w:rsidRPr="005B17A9">
        <w:rPr>
          <w:sz w:val="20"/>
          <w:highlight w:val="yellow"/>
        </w:rPr>
        <w:t>. IWA Publishing, London</w:t>
      </w:r>
      <w:r w:rsidR="00315CCB" w:rsidRPr="005B17A9">
        <w:rPr>
          <w:sz w:val="20"/>
          <w:highlight w:val="yellow"/>
        </w:rPr>
        <w:t>, 2005.</w:t>
      </w:r>
    </w:p>
    <w:p w14:paraId="4F2B1073" w14:textId="66F60648" w:rsidR="00957D69" w:rsidRPr="005B17A9" w:rsidRDefault="00D14AFB" w:rsidP="009B16AA">
      <w:pPr>
        <w:tabs>
          <w:tab w:val="left" w:pos="514"/>
        </w:tabs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WAN, J.</w:t>
      </w:r>
      <w:r w:rsidR="00315CCB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GU, J.</w:t>
      </w:r>
      <w:r w:rsidR="00315CCB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ZHAO, Q.</w:t>
      </w:r>
      <w:r w:rsidR="00315CCB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LIU, Y. </w:t>
      </w:r>
      <w:r w:rsidRPr="005B17A9">
        <w:rPr>
          <w:iCs/>
          <w:sz w:val="20"/>
          <w:highlight w:val="yellow"/>
        </w:rPr>
        <w:t>COD capture: A feasible option towards energy self-sufficient domestic wastewater treatment.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Scientific Reports</w:t>
      </w:r>
      <w:r w:rsidRPr="005B17A9">
        <w:rPr>
          <w:sz w:val="20"/>
          <w:highlight w:val="yellow"/>
        </w:rPr>
        <w:t xml:space="preserve">, v. 6, </w:t>
      </w:r>
      <w:r w:rsidR="00E24E14" w:rsidRPr="005B17A9">
        <w:rPr>
          <w:sz w:val="20"/>
          <w:highlight w:val="yellow"/>
        </w:rPr>
        <w:t>2016</w:t>
      </w:r>
      <w:r w:rsidRPr="005B17A9">
        <w:rPr>
          <w:sz w:val="20"/>
          <w:highlight w:val="yellow"/>
        </w:rPr>
        <w:t>, p. 1–9.</w:t>
      </w:r>
    </w:p>
    <w:p w14:paraId="50C6E4F3" w14:textId="79474EA0" w:rsidR="00957D69" w:rsidRPr="005B17A9" w:rsidRDefault="00D14AFB" w:rsidP="009B16AA">
      <w:pPr>
        <w:pStyle w:val="Ttulo2"/>
        <w:tabs>
          <w:tab w:val="left" w:pos="513"/>
        </w:tabs>
        <w:spacing w:before="0"/>
        <w:ind w:left="231" w:right="230" w:firstLine="0"/>
        <w:rPr>
          <w:highlight w:val="yellow"/>
        </w:rPr>
      </w:pPr>
      <w:r w:rsidRPr="005B17A9">
        <w:rPr>
          <w:highlight w:val="yellow"/>
        </w:rPr>
        <w:t>WETT,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B.</w:t>
      </w:r>
      <w:r w:rsidR="00E24E14" w:rsidRPr="005B17A9">
        <w:rPr>
          <w:highlight w:val="yellow"/>
        </w:rPr>
        <w:t>;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PODMIRSEG,</w:t>
      </w:r>
      <w:r w:rsidRPr="005B17A9">
        <w:rPr>
          <w:spacing w:val="64"/>
          <w:highlight w:val="yellow"/>
        </w:rPr>
        <w:t xml:space="preserve"> </w:t>
      </w:r>
      <w:r w:rsidRPr="005B17A9">
        <w:rPr>
          <w:highlight w:val="yellow"/>
        </w:rPr>
        <w:t>S.M.</w:t>
      </w:r>
      <w:r w:rsidR="00E24E14" w:rsidRPr="005B17A9">
        <w:rPr>
          <w:highlight w:val="yellow"/>
        </w:rPr>
        <w:t>;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GÓMEZ-BRANDÓN,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M.</w:t>
      </w:r>
      <w:r w:rsidR="00E24E14" w:rsidRPr="005B17A9">
        <w:rPr>
          <w:highlight w:val="yellow"/>
        </w:rPr>
        <w:t>;</w:t>
      </w:r>
      <w:r w:rsidRPr="005B17A9">
        <w:rPr>
          <w:spacing w:val="64"/>
          <w:highlight w:val="yellow"/>
        </w:rPr>
        <w:t xml:space="preserve"> </w:t>
      </w:r>
      <w:r w:rsidRPr="005B17A9">
        <w:rPr>
          <w:highlight w:val="yellow"/>
        </w:rPr>
        <w:t>HELL,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M.</w:t>
      </w:r>
      <w:r w:rsidR="00E24E14" w:rsidRPr="005B17A9">
        <w:rPr>
          <w:highlight w:val="yellow"/>
        </w:rPr>
        <w:t>;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NYHUIS,</w:t>
      </w:r>
      <w:r w:rsidRPr="005B17A9">
        <w:rPr>
          <w:spacing w:val="64"/>
          <w:highlight w:val="yellow"/>
        </w:rPr>
        <w:t xml:space="preserve"> </w:t>
      </w:r>
      <w:r w:rsidRPr="005B17A9">
        <w:rPr>
          <w:highlight w:val="yellow"/>
        </w:rPr>
        <w:t>G.</w:t>
      </w:r>
      <w:r w:rsidR="00E24E14" w:rsidRPr="005B17A9">
        <w:rPr>
          <w:highlight w:val="yellow"/>
        </w:rPr>
        <w:t>;</w:t>
      </w:r>
      <w:r w:rsidRPr="005B17A9">
        <w:rPr>
          <w:spacing w:val="63"/>
          <w:highlight w:val="yellow"/>
        </w:rPr>
        <w:t xml:space="preserve"> </w:t>
      </w:r>
      <w:r w:rsidRPr="005B17A9">
        <w:rPr>
          <w:highlight w:val="yellow"/>
        </w:rPr>
        <w:t>BOTT,</w:t>
      </w:r>
      <w:r w:rsidRPr="005B17A9">
        <w:rPr>
          <w:spacing w:val="64"/>
          <w:highlight w:val="yellow"/>
        </w:rPr>
        <w:t xml:space="preserve"> </w:t>
      </w:r>
      <w:r w:rsidRPr="005B17A9">
        <w:rPr>
          <w:spacing w:val="-5"/>
          <w:highlight w:val="yellow"/>
        </w:rPr>
        <w:t>C.</w:t>
      </w:r>
      <w:r w:rsidR="007C6D0D" w:rsidRPr="005B17A9">
        <w:rPr>
          <w:spacing w:val="-5"/>
          <w:highlight w:val="yellow"/>
        </w:rPr>
        <w:t xml:space="preserve">; </w:t>
      </w:r>
      <w:r w:rsidRPr="005B17A9">
        <w:rPr>
          <w:highlight w:val="yellow"/>
        </w:rPr>
        <w:t xml:space="preserve">MURTHY, S. </w:t>
      </w:r>
      <w:r w:rsidRPr="005B17A9">
        <w:rPr>
          <w:iCs/>
          <w:highlight w:val="yellow"/>
        </w:rPr>
        <w:t>Expanding DEMON Sidestream Deammonification Technology Towards Mainstream Application.</w:t>
      </w:r>
      <w:r w:rsidRPr="005B17A9">
        <w:rPr>
          <w:i/>
          <w:highlight w:val="yellow"/>
        </w:rPr>
        <w:t xml:space="preserve"> </w:t>
      </w:r>
      <w:r w:rsidRPr="005B17A9">
        <w:rPr>
          <w:i/>
          <w:iCs/>
          <w:highlight w:val="yellow"/>
        </w:rPr>
        <w:t>Water Environment Research</w:t>
      </w:r>
      <w:r w:rsidRPr="005B17A9">
        <w:rPr>
          <w:highlight w:val="yellow"/>
        </w:rPr>
        <w:t xml:space="preserve">, v. 87, n. 12, </w:t>
      </w:r>
      <w:r w:rsidR="007C6D0D" w:rsidRPr="005B17A9">
        <w:rPr>
          <w:highlight w:val="yellow"/>
        </w:rPr>
        <w:t xml:space="preserve">2015, </w:t>
      </w:r>
      <w:r w:rsidRPr="005B17A9">
        <w:rPr>
          <w:highlight w:val="yellow"/>
        </w:rPr>
        <w:t>p. 2084–2089.</w:t>
      </w:r>
    </w:p>
    <w:p w14:paraId="794A0E86" w14:textId="715C49FF" w:rsidR="00957D69" w:rsidRPr="005B17A9" w:rsidRDefault="00D14AFB" w:rsidP="009B16AA">
      <w:pPr>
        <w:tabs>
          <w:tab w:val="left" w:pos="514"/>
        </w:tabs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 xml:space="preserve">YAMAMOTO, T., TAKAKI, K., KOYAMA, T., FURUKAWA, K. </w:t>
      </w:r>
      <w:r w:rsidRPr="005B17A9">
        <w:rPr>
          <w:iCs/>
          <w:sz w:val="20"/>
          <w:highlight w:val="yellow"/>
        </w:rPr>
        <w:t>Long-term stability of partial nitritation of swine wastewater digester liquor and its subsequent treatment by Anammox</w:t>
      </w:r>
      <w:r w:rsidRPr="005B17A9">
        <w:rPr>
          <w:i/>
          <w:sz w:val="20"/>
          <w:highlight w:val="yellow"/>
        </w:rPr>
        <w:t xml:space="preserve">. </w:t>
      </w:r>
      <w:r w:rsidRPr="005B17A9">
        <w:rPr>
          <w:i/>
          <w:iCs/>
          <w:sz w:val="20"/>
          <w:highlight w:val="yellow"/>
        </w:rPr>
        <w:t>Bioresource Technology</w:t>
      </w:r>
      <w:r w:rsidRPr="005B17A9">
        <w:rPr>
          <w:sz w:val="20"/>
          <w:highlight w:val="yellow"/>
        </w:rPr>
        <w:t xml:space="preserve">, v. 99, n. 14, </w:t>
      </w:r>
      <w:r w:rsidR="007C6D0D" w:rsidRPr="005B17A9">
        <w:rPr>
          <w:sz w:val="20"/>
          <w:highlight w:val="yellow"/>
        </w:rPr>
        <w:t xml:space="preserve">2008, </w:t>
      </w:r>
      <w:r w:rsidRPr="005B17A9">
        <w:rPr>
          <w:sz w:val="20"/>
          <w:highlight w:val="yellow"/>
        </w:rPr>
        <w:t>p. 6419–6425.</w:t>
      </w:r>
    </w:p>
    <w:p w14:paraId="291C1920" w14:textId="64846985" w:rsidR="00957D69" w:rsidRPr="005B17A9" w:rsidRDefault="00D14AFB" w:rsidP="009B16AA">
      <w:pPr>
        <w:tabs>
          <w:tab w:val="left" w:pos="514"/>
        </w:tabs>
        <w:ind w:left="230" w:right="229"/>
        <w:jc w:val="both"/>
        <w:rPr>
          <w:sz w:val="20"/>
          <w:highlight w:val="yellow"/>
        </w:rPr>
      </w:pPr>
      <w:r w:rsidRPr="005B17A9">
        <w:rPr>
          <w:sz w:val="20"/>
          <w:highlight w:val="yellow"/>
        </w:rPr>
        <w:t>YANG, Y.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ZHANG, L.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CHENG, J.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ZHANG, S.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LI, X.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PENG, Y. </w:t>
      </w:r>
      <w:r w:rsidRPr="005B17A9">
        <w:rPr>
          <w:iCs/>
          <w:sz w:val="20"/>
          <w:highlight w:val="yellow"/>
        </w:rPr>
        <w:t>Microbial community evolution in partial nitritation/anammox process: From sidestream to mainstream.</w:t>
      </w:r>
      <w:r w:rsidRPr="005B17A9">
        <w:rPr>
          <w:i/>
          <w:sz w:val="20"/>
          <w:highlight w:val="yellow"/>
        </w:rPr>
        <w:t xml:space="preserve"> </w:t>
      </w:r>
      <w:r w:rsidRPr="005B17A9">
        <w:rPr>
          <w:i/>
          <w:iCs/>
          <w:sz w:val="20"/>
          <w:highlight w:val="yellow"/>
        </w:rPr>
        <w:t>Bioresource Technology</w:t>
      </w:r>
      <w:r w:rsidRPr="005B17A9">
        <w:rPr>
          <w:sz w:val="20"/>
          <w:highlight w:val="yellow"/>
        </w:rPr>
        <w:t xml:space="preserve">, v. 251, </w:t>
      </w:r>
      <w:r w:rsidR="000B53A3" w:rsidRPr="005B17A9">
        <w:rPr>
          <w:sz w:val="20"/>
          <w:highlight w:val="yellow"/>
        </w:rPr>
        <w:t xml:space="preserve">2018, </w:t>
      </w:r>
      <w:r w:rsidRPr="005B17A9">
        <w:rPr>
          <w:sz w:val="20"/>
          <w:highlight w:val="yellow"/>
        </w:rPr>
        <w:t>p. 327–333</w:t>
      </w:r>
      <w:r w:rsidR="00DD547B" w:rsidRPr="005B17A9">
        <w:rPr>
          <w:sz w:val="20"/>
          <w:highlight w:val="yellow"/>
        </w:rPr>
        <w:t>.</w:t>
      </w:r>
    </w:p>
    <w:p w14:paraId="35FCB093" w14:textId="46D0FC71" w:rsidR="00957D69" w:rsidRPr="009B16AA" w:rsidRDefault="00D14AFB" w:rsidP="009B16AA">
      <w:pPr>
        <w:tabs>
          <w:tab w:val="left" w:pos="514"/>
        </w:tabs>
        <w:spacing w:before="2" w:line="237" w:lineRule="auto"/>
        <w:ind w:left="230" w:right="229"/>
        <w:jc w:val="both"/>
        <w:rPr>
          <w:sz w:val="20"/>
        </w:rPr>
      </w:pPr>
      <w:r w:rsidRPr="005B17A9">
        <w:rPr>
          <w:sz w:val="20"/>
          <w:highlight w:val="yellow"/>
        </w:rPr>
        <w:t>ZHANG, G.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ZHANG, L.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HAN, X.</w:t>
      </w:r>
      <w:r w:rsidR="000B53A3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ZHANG, S.</w:t>
      </w:r>
      <w:r w:rsidR="00DD547B" w:rsidRPr="005B17A9">
        <w:rPr>
          <w:sz w:val="20"/>
          <w:highlight w:val="yellow"/>
        </w:rPr>
        <w:t>;</w:t>
      </w:r>
      <w:r w:rsidRPr="005B17A9">
        <w:rPr>
          <w:sz w:val="20"/>
          <w:highlight w:val="yellow"/>
        </w:rPr>
        <w:t xml:space="preserve"> PENG, Y. </w:t>
      </w:r>
      <w:r w:rsidRPr="005B17A9">
        <w:rPr>
          <w:iCs/>
          <w:sz w:val="20"/>
          <w:highlight w:val="yellow"/>
        </w:rPr>
        <w:t>Start-up of PN-anammox system under low inoculation quantity and its restoration after low-loading rate shock</w:t>
      </w:r>
      <w:r w:rsidRPr="005B17A9">
        <w:rPr>
          <w:i/>
          <w:sz w:val="20"/>
          <w:highlight w:val="yellow"/>
        </w:rPr>
        <w:t xml:space="preserve">. </w:t>
      </w:r>
      <w:r w:rsidRPr="005B17A9">
        <w:rPr>
          <w:i/>
          <w:iCs/>
          <w:sz w:val="20"/>
          <w:highlight w:val="yellow"/>
        </w:rPr>
        <w:t>Frontiers of Environmental Science and Engineering</w:t>
      </w:r>
      <w:r w:rsidRPr="005B17A9">
        <w:rPr>
          <w:sz w:val="20"/>
          <w:highlight w:val="yellow"/>
        </w:rPr>
        <w:t>, v. 15, n. 2, 2021.</w:t>
      </w:r>
    </w:p>
    <w:sectPr w:rsidR="00957D69" w:rsidRPr="009B16AA">
      <w:pgSz w:w="11910" w:h="16840"/>
      <w:pgMar w:top="2000" w:right="1275" w:bottom="1000" w:left="1275" w:header="455" w:footer="8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766BA" w14:textId="77777777" w:rsidR="00D14AFB" w:rsidRDefault="00D14AFB">
      <w:r>
        <w:separator/>
      </w:r>
    </w:p>
  </w:endnote>
  <w:endnote w:type="continuationSeparator" w:id="0">
    <w:p w14:paraId="005B3418" w14:textId="77777777" w:rsidR="00D14AFB" w:rsidRDefault="00D14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BACDA" w14:textId="77777777" w:rsidR="00957D69" w:rsidRDefault="00D14AFB">
    <w:pPr>
      <w:pStyle w:val="Corpodetexto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394816" behindDoc="1" locked="0" layoutInCell="1" allowOverlap="1" wp14:anchorId="1AEC4E49" wp14:editId="76840708">
              <wp:simplePos x="0" y="0"/>
              <wp:positionH relativeFrom="page">
                <wp:posOffset>937440</wp:posOffset>
              </wp:positionH>
              <wp:positionV relativeFrom="page">
                <wp:posOffset>10001808</wp:posOffset>
              </wp:positionV>
              <wp:extent cx="5666740" cy="9525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667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66740" h="9525">
                            <a:moveTo>
                              <a:pt x="5666232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5666232" y="9144"/>
                            </a:lnTo>
                            <a:lnTo>
                              <a:pt x="56662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A252AC" id="Graphic 8" o:spid="_x0000_s1026" style="position:absolute;margin-left:73.8pt;margin-top:787.55pt;width:446.2pt;height:.75pt;z-index:-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667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" path="m5666232,l,,,9144r5666232,l566623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5328" behindDoc="1" locked="0" layoutInCell="1" allowOverlap="1" wp14:anchorId="420EA6CE" wp14:editId="47221210">
              <wp:simplePos x="0" y="0"/>
              <wp:positionH relativeFrom="page">
                <wp:posOffset>914580</wp:posOffset>
              </wp:positionH>
              <wp:positionV relativeFrom="page">
                <wp:posOffset>10006176</wp:posOffset>
              </wp:positionV>
              <wp:extent cx="153670" cy="15494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335471" w14:textId="77777777" w:rsidR="00957D69" w:rsidRDefault="00D14AFB">
                          <w:pPr>
                            <w:spacing w:before="16"/>
                            <w:ind w:left="60"/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0EA6CE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7" type="#_x0000_t202" style="position:absolute;margin-left:1in;margin-top:787.9pt;width:12.1pt;height:12.2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" filled="f" stroked="f">
              <v:textbox inset="0,0,0,0">
                <w:txbxContent>
                  <w:p w14:paraId="4B335471" w14:textId="77777777" w:rsidR="00957D69" w:rsidRDefault="00D14AFB">
                    <w:pPr>
                      <w:spacing w:before="16"/>
                      <w:ind w:left="60"/>
                      <w:rPr>
                        <w:rFonts w:asci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t>2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5840" behindDoc="1" locked="0" layoutInCell="1" allowOverlap="1" wp14:anchorId="011BD8DE" wp14:editId="245B6317">
              <wp:simplePos x="0" y="0"/>
              <wp:positionH relativeFrom="page">
                <wp:posOffset>1948207</wp:posOffset>
              </wp:positionH>
              <wp:positionV relativeFrom="page">
                <wp:posOffset>10012271</wp:posOffset>
              </wp:positionV>
              <wp:extent cx="3647440" cy="1549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744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AC50B" w14:textId="77777777" w:rsidR="00957D69" w:rsidRDefault="00D14AFB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ABES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Associação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Brasileira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Engenharia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Sanitária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2"/>
                              <w:sz w:val="18"/>
                            </w:rPr>
                            <w:t>Ambiental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1BD8DE" id="Textbox 10" o:spid="_x0000_s1028" type="#_x0000_t202" style="position:absolute;margin-left:153.4pt;margin-top:788.35pt;width:287.2pt;height:12.2pt;z-index:-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" filled="f" stroked="f">
              <v:textbox inset="0,0,0,0">
                <w:txbxContent>
                  <w:p w14:paraId="7BEAC50B" w14:textId="77777777" w:rsidR="00957D69" w:rsidRDefault="00D14AFB">
                    <w:pPr>
                      <w:spacing w:before="16"/>
                      <w:ind w:left="20"/>
                      <w:rPr>
                        <w:rFonts w:ascii="Arial" w:hAns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ABES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Associação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Brasileira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Engenharia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Sanitária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sz w:val="18"/>
                      </w:rPr>
                      <w:t>Ambiental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6B067" w14:textId="77777777" w:rsidR="00957D69" w:rsidRDefault="00D14AFB">
    <w:pPr>
      <w:pStyle w:val="Corpodetexto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487393280" behindDoc="1" locked="0" layoutInCell="1" allowOverlap="1" wp14:anchorId="60F523CD" wp14:editId="376B4887">
              <wp:simplePos x="0" y="0"/>
              <wp:positionH relativeFrom="page">
                <wp:posOffset>937440</wp:posOffset>
              </wp:positionH>
              <wp:positionV relativeFrom="page">
                <wp:posOffset>10001808</wp:posOffset>
              </wp:positionV>
              <wp:extent cx="5666740" cy="952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667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66740" h="9525">
                            <a:moveTo>
                              <a:pt x="5666232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5666232" y="9144"/>
                            </a:lnTo>
                            <a:lnTo>
                              <a:pt x="56662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17706B" id="Graphic 5" o:spid="_x0000_s1026" style="position:absolute;margin-left:73.8pt;margin-top:787.55pt;width:446.2pt;height:.75pt;z-index:-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667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" path="m5666232,l,,,9144r5666232,l566623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3792" behindDoc="1" locked="0" layoutInCell="1" allowOverlap="1" wp14:anchorId="29CA2522" wp14:editId="4AFF44C5">
              <wp:simplePos x="0" y="0"/>
              <wp:positionH relativeFrom="page">
                <wp:posOffset>1948207</wp:posOffset>
              </wp:positionH>
              <wp:positionV relativeFrom="page">
                <wp:posOffset>10012271</wp:posOffset>
              </wp:positionV>
              <wp:extent cx="3647440" cy="15494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4744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E7C952" w14:textId="77777777" w:rsidR="00957D69" w:rsidRDefault="00D14AFB">
                          <w:pPr>
                            <w:spacing w:before="16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ABES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Associação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Brasileira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Engenharia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Sanitária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2"/>
                              <w:sz w:val="18"/>
                            </w:rPr>
                            <w:t>Ambiental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A2522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153.4pt;margin-top:788.35pt;width:287.2pt;height:12.2pt;z-index:-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" filled="f" stroked="f">
              <v:textbox inset="0,0,0,0">
                <w:txbxContent>
                  <w:p w14:paraId="60E7C952" w14:textId="77777777" w:rsidR="00957D69" w:rsidRDefault="00D14AFB">
                    <w:pPr>
                      <w:spacing w:before="16"/>
                      <w:ind w:left="20"/>
                      <w:rPr>
                        <w:rFonts w:ascii="Arial" w:hAns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ABES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Associação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Brasileira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Engenharia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Sanitária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8"/>
                      </w:rPr>
                      <w:t>e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sz w:val="18"/>
                      </w:rPr>
                      <w:t>Ambiental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4304" behindDoc="1" locked="0" layoutInCell="1" allowOverlap="1" wp14:anchorId="3DFE14FB" wp14:editId="5777ABBC">
              <wp:simplePos x="0" y="0"/>
              <wp:positionH relativeFrom="page">
                <wp:posOffset>6486638</wp:posOffset>
              </wp:positionH>
              <wp:positionV relativeFrom="page">
                <wp:posOffset>10006176</wp:posOffset>
              </wp:positionV>
              <wp:extent cx="153670" cy="15494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0E0C52" w14:textId="77777777" w:rsidR="00957D69" w:rsidRDefault="00D14AFB">
                          <w:pPr>
                            <w:spacing w:before="16"/>
                            <w:ind w:left="60"/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FE14FB" id="Textbox 7" o:spid="_x0000_s1030" type="#_x0000_t202" style="position:absolute;margin-left:510.75pt;margin-top:787.9pt;width:12.1pt;height:12.2pt;z-index:-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" filled="f" stroked="f">
              <v:textbox inset="0,0,0,0">
                <w:txbxContent>
                  <w:p w14:paraId="5C0E0C52" w14:textId="77777777" w:rsidR="00957D69" w:rsidRDefault="00D14AFB">
                    <w:pPr>
                      <w:spacing w:before="16"/>
                      <w:ind w:left="60"/>
                      <w:rPr>
                        <w:rFonts w:ascii="Arial"/>
                        <w:b/>
                        <w:i/>
                        <w:sz w:val="18"/>
                      </w:rPr>
                    </w:pP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t>1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7DDD1" w14:textId="77777777" w:rsidR="00FB54F0" w:rsidRDefault="00FB54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3B4EA" w14:textId="77777777" w:rsidR="00D14AFB" w:rsidRDefault="00D14AFB">
      <w:r>
        <w:separator/>
      </w:r>
    </w:p>
  </w:footnote>
  <w:footnote w:type="continuationSeparator" w:id="0">
    <w:p w14:paraId="70B21677" w14:textId="77777777" w:rsidR="00D14AFB" w:rsidRDefault="00D14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B223D" w14:textId="77777777" w:rsidR="00957D69" w:rsidRDefault="00D14AFB">
    <w:pPr>
      <w:pStyle w:val="Corpodetexto"/>
      <w:spacing w:line="14" w:lineRule="auto"/>
      <w:ind w:left="0"/>
    </w:pPr>
    <w:r>
      <w:rPr>
        <w:noProof/>
      </w:rPr>
      <w:drawing>
        <wp:anchor distT="0" distB="0" distL="0" distR="0" simplePos="0" relativeHeight="487392256" behindDoc="1" locked="0" layoutInCell="1" allowOverlap="1" wp14:anchorId="319BE334" wp14:editId="4468174F">
          <wp:simplePos x="0" y="0"/>
          <wp:positionH relativeFrom="page">
            <wp:posOffset>957759</wp:posOffset>
          </wp:positionH>
          <wp:positionV relativeFrom="page">
            <wp:posOffset>288975</wp:posOffset>
          </wp:positionV>
          <wp:extent cx="2369184" cy="90411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9184" cy="9041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92768" behindDoc="1" locked="0" layoutInCell="1" allowOverlap="1" wp14:anchorId="68530E3C" wp14:editId="5555FA26">
          <wp:simplePos x="0" y="0"/>
          <wp:positionH relativeFrom="page">
            <wp:posOffset>6087287</wp:posOffset>
          </wp:positionH>
          <wp:positionV relativeFrom="page">
            <wp:posOffset>443279</wp:posOffset>
          </wp:positionV>
          <wp:extent cx="658494" cy="676275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58494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9CDCF" w14:textId="55036841" w:rsidR="00957D69" w:rsidRDefault="00D14AFB" w:rsidP="00FB54F0">
    <w:pPr>
      <w:pStyle w:val="Corpodetexto"/>
      <w:tabs>
        <w:tab w:val="left" w:pos="0"/>
      </w:tabs>
      <w:spacing w:line="14" w:lineRule="auto"/>
      <w:ind w:left="0"/>
    </w:pPr>
    <w:r>
      <w:rPr>
        <w:noProof/>
      </w:rPr>
      <w:drawing>
        <wp:anchor distT="0" distB="0" distL="0" distR="0" simplePos="0" relativeHeight="487391744" behindDoc="1" locked="0" layoutInCell="1" allowOverlap="1" wp14:anchorId="4AA389A5" wp14:editId="31491C83">
          <wp:simplePos x="0" y="0"/>
          <wp:positionH relativeFrom="page">
            <wp:posOffset>5934887</wp:posOffset>
          </wp:positionH>
          <wp:positionV relativeFrom="page">
            <wp:posOffset>414704</wp:posOffset>
          </wp:positionV>
          <wp:extent cx="658494" cy="67627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8494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54F0">
      <w:rPr>
        <w:noProof/>
      </w:rPr>
      <w:drawing>
        <wp:inline distT="0" distB="0" distL="0" distR="0" wp14:anchorId="5997D0BB" wp14:editId="4C9A42D9">
          <wp:extent cx="2018030" cy="1036320"/>
          <wp:effectExtent l="0" t="0" r="1270" b="0"/>
          <wp:docPr id="310995877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1036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14EF1" w14:textId="77777777" w:rsidR="00FB54F0" w:rsidRDefault="00FB54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D0C6D"/>
    <w:multiLevelType w:val="hybridMultilevel"/>
    <w:tmpl w:val="AD1A4FA0"/>
    <w:lvl w:ilvl="0" w:tplc="FDD8DD8C">
      <w:start w:val="1"/>
      <w:numFmt w:val="decimal"/>
      <w:lvlText w:val="%1."/>
      <w:lvlJc w:val="left"/>
      <w:pPr>
        <w:ind w:left="51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 w:tplc="E280C454">
      <w:numFmt w:val="bullet"/>
      <w:lvlText w:val="•"/>
      <w:lvlJc w:val="left"/>
      <w:pPr>
        <w:ind w:left="1403" w:hanging="284"/>
      </w:pPr>
      <w:rPr>
        <w:rFonts w:hint="default"/>
        <w:lang w:val="pt-PT" w:eastAsia="en-US" w:bidi="ar-SA"/>
      </w:rPr>
    </w:lvl>
    <w:lvl w:ilvl="2" w:tplc="73C84390">
      <w:numFmt w:val="bullet"/>
      <w:lvlText w:val="•"/>
      <w:lvlJc w:val="left"/>
      <w:pPr>
        <w:ind w:left="2287" w:hanging="284"/>
      </w:pPr>
      <w:rPr>
        <w:rFonts w:hint="default"/>
        <w:lang w:val="pt-PT" w:eastAsia="en-US" w:bidi="ar-SA"/>
      </w:rPr>
    </w:lvl>
    <w:lvl w:ilvl="3" w:tplc="6B7C1456">
      <w:numFmt w:val="bullet"/>
      <w:lvlText w:val="•"/>
      <w:lvlJc w:val="left"/>
      <w:pPr>
        <w:ind w:left="3170" w:hanging="284"/>
      </w:pPr>
      <w:rPr>
        <w:rFonts w:hint="default"/>
        <w:lang w:val="pt-PT" w:eastAsia="en-US" w:bidi="ar-SA"/>
      </w:rPr>
    </w:lvl>
    <w:lvl w:ilvl="4" w:tplc="9BAC8D5C">
      <w:numFmt w:val="bullet"/>
      <w:lvlText w:val="•"/>
      <w:lvlJc w:val="left"/>
      <w:pPr>
        <w:ind w:left="4054" w:hanging="284"/>
      </w:pPr>
      <w:rPr>
        <w:rFonts w:hint="default"/>
        <w:lang w:val="pt-PT" w:eastAsia="en-US" w:bidi="ar-SA"/>
      </w:rPr>
    </w:lvl>
    <w:lvl w:ilvl="5" w:tplc="69D2F7C6">
      <w:numFmt w:val="bullet"/>
      <w:lvlText w:val="•"/>
      <w:lvlJc w:val="left"/>
      <w:pPr>
        <w:ind w:left="4937" w:hanging="284"/>
      </w:pPr>
      <w:rPr>
        <w:rFonts w:hint="default"/>
        <w:lang w:val="pt-PT" w:eastAsia="en-US" w:bidi="ar-SA"/>
      </w:rPr>
    </w:lvl>
    <w:lvl w:ilvl="6" w:tplc="EACE9F56">
      <w:numFmt w:val="bullet"/>
      <w:lvlText w:val="•"/>
      <w:lvlJc w:val="left"/>
      <w:pPr>
        <w:ind w:left="5821" w:hanging="284"/>
      </w:pPr>
      <w:rPr>
        <w:rFonts w:hint="default"/>
        <w:lang w:val="pt-PT" w:eastAsia="en-US" w:bidi="ar-SA"/>
      </w:rPr>
    </w:lvl>
    <w:lvl w:ilvl="7" w:tplc="3D1CCD6C">
      <w:numFmt w:val="bullet"/>
      <w:lvlText w:val="•"/>
      <w:lvlJc w:val="left"/>
      <w:pPr>
        <w:ind w:left="6704" w:hanging="284"/>
      </w:pPr>
      <w:rPr>
        <w:rFonts w:hint="default"/>
        <w:lang w:val="pt-PT" w:eastAsia="en-US" w:bidi="ar-SA"/>
      </w:rPr>
    </w:lvl>
    <w:lvl w:ilvl="8" w:tplc="31529478">
      <w:numFmt w:val="bullet"/>
      <w:lvlText w:val="•"/>
      <w:lvlJc w:val="left"/>
      <w:pPr>
        <w:ind w:left="7588" w:hanging="284"/>
      </w:pPr>
      <w:rPr>
        <w:rFonts w:hint="default"/>
        <w:lang w:val="pt-PT" w:eastAsia="en-US" w:bidi="ar-SA"/>
      </w:rPr>
    </w:lvl>
  </w:abstractNum>
  <w:abstractNum w:abstractNumId="1" w15:restartNumberingAfterBreak="0">
    <w:nsid w:val="3F2E18AB"/>
    <w:multiLevelType w:val="hybridMultilevel"/>
    <w:tmpl w:val="0C0A571E"/>
    <w:lvl w:ilvl="0" w:tplc="A64639BC">
      <w:numFmt w:val="bullet"/>
      <w:lvlText w:val=""/>
      <w:lvlJc w:val="left"/>
      <w:pPr>
        <w:ind w:left="514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5EEA98BC">
      <w:numFmt w:val="bullet"/>
      <w:lvlText w:val="•"/>
      <w:lvlJc w:val="left"/>
      <w:pPr>
        <w:ind w:left="1403" w:hanging="284"/>
      </w:pPr>
      <w:rPr>
        <w:rFonts w:hint="default"/>
        <w:lang w:val="pt-PT" w:eastAsia="en-US" w:bidi="ar-SA"/>
      </w:rPr>
    </w:lvl>
    <w:lvl w:ilvl="2" w:tplc="038681A0">
      <w:numFmt w:val="bullet"/>
      <w:lvlText w:val="•"/>
      <w:lvlJc w:val="left"/>
      <w:pPr>
        <w:ind w:left="2287" w:hanging="284"/>
      </w:pPr>
      <w:rPr>
        <w:rFonts w:hint="default"/>
        <w:lang w:val="pt-PT" w:eastAsia="en-US" w:bidi="ar-SA"/>
      </w:rPr>
    </w:lvl>
    <w:lvl w:ilvl="3" w:tplc="65B6940C">
      <w:numFmt w:val="bullet"/>
      <w:lvlText w:val="•"/>
      <w:lvlJc w:val="left"/>
      <w:pPr>
        <w:ind w:left="3170" w:hanging="284"/>
      </w:pPr>
      <w:rPr>
        <w:rFonts w:hint="default"/>
        <w:lang w:val="pt-PT" w:eastAsia="en-US" w:bidi="ar-SA"/>
      </w:rPr>
    </w:lvl>
    <w:lvl w:ilvl="4" w:tplc="01440FBA">
      <w:numFmt w:val="bullet"/>
      <w:lvlText w:val="•"/>
      <w:lvlJc w:val="left"/>
      <w:pPr>
        <w:ind w:left="4054" w:hanging="284"/>
      </w:pPr>
      <w:rPr>
        <w:rFonts w:hint="default"/>
        <w:lang w:val="pt-PT" w:eastAsia="en-US" w:bidi="ar-SA"/>
      </w:rPr>
    </w:lvl>
    <w:lvl w:ilvl="5" w:tplc="9906FFB8">
      <w:numFmt w:val="bullet"/>
      <w:lvlText w:val="•"/>
      <w:lvlJc w:val="left"/>
      <w:pPr>
        <w:ind w:left="4937" w:hanging="284"/>
      </w:pPr>
      <w:rPr>
        <w:rFonts w:hint="default"/>
        <w:lang w:val="pt-PT" w:eastAsia="en-US" w:bidi="ar-SA"/>
      </w:rPr>
    </w:lvl>
    <w:lvl w:ilvl="6" w:tplc="B96E2F22">
      <w:numFmt w:val="bullet"/>
      <w:lvlText w:val="•"/>
      <w:lvlJc w:val="left"/>
      <w:pPr>
        <w:ind w:left="5821" w:hanging="284"/>
      </w:pPr>
      <w:rPr>
        <w:rFonts w:hint="default"/>
        <w:lang w:val="pt-PT" w:eastAsia="en-US" w:bidi="ar-SA"/>
      </w:rPr>
    </w:lvl>
    <w:lvl w:ilvl="7" w:tplc="8398BD96">
      <w:numFmt w:val="bullet"/>
      <w:lvlText w:val="•"/>
      <w:lvlJc w:val="left"/>
      <w:pPr>
        <w:ind w:left="6704" w:hanging="284"/>
      </w:pPr>
      <w:rPr>
        <w:rFonts w:hint="default"/>
        <w:lang w:val="pt-PT" w:eastAsia="en-US" w:bidi="ar-SA"/>
      </w:rPr>
    </w:lvl>
    <w:lvl w:ilvl="8" w:tplc="DCC40416">
      <w:numFmt w:val="bullet"/>
      <w:lvlText w:val="•"/>
      <w:lvlJc w:val="left"/>
      <w:pPr>
        <w:ind w:left="7588" w:hanging="284"/>
      </w:pPr>
      <w:rPr>
        <w:rFonts w:hint="default"/>
        <w:lang w:val="pt-PT" w:eastAsia="en-US" w:bidi="ar-SA"/>
      </w:rPr>
    </w:lvl>
  </w:abstractNum>
  <w:num w:numId="1" w16cid:durableId="116606365">
    <w:abstractNumId w:val="0"/>
  </w:num>
  <w:num w:numId="2" w16cid:durableId="13235055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D69"/>
    <w:rsid w:val="00015C75"/>
    <w:rsid w:val="00031390"/>
    <w:rsid w:val="00036955"/>
    <w:rsid w:val="00041684"/>
    <w:rsid w:val="00094F2E"/>
    <w:rsid w:val="000B433D"/>
    <w:rsid w:val="000B53A3"/>
    <w:rsid w:val="000C2921"/>
    <w:rsid w:val="00101ABA"/>
    <w:rsid w:val="00145C1C"/>
    <w:rsid w:val="0015793D"/>
    <w:rsid w:val="00176881"/>
    <w:rsid w:val="00187313"/>
    <w:rsid w:val="001F1B71"/>
    <w:rsid w:val="002E283E"/>
    <w:rsid w:val="0030719B"/>
    <w:rsid w:val="003130E3"/>
    <w:rsid w:val="00315CCB"/>
    <w:rsid w:val="00333C25"/>
    <w:rsid w:val="003548A6"/>
    <w:rsid w:val="003B061D"/>
    <w:rsid w:val="003B7777"/>
    <w:rsid w:val="00404ABB"/>
    <w:rsid w:val="00417C7D"/>
    <w:rsid w:val="00435938"/>
    <w:rsid w:val="00441F1A"/>
    <w:rsid w:val="00460859"/>
    <w:rsid w:val="004815D9"/>
    <w:rsid w:val="004850C3"/>
    <w:rsid w:val="004D3369"/>
    <w:rsid w:val="004D7E66"/>
    <w:rsid w:val="00577C33"/>
    <w:rsid w:val="005A6803"/>
    <w:rsid w:val="005B17A9"/>
    <w:rsid w:val="005C321F"/>
    <w:rsid w:val="00612637"/>
    <w:rsid w:val="006B28CA"/>
    <w:rsid w:val="006D2FAD"/>
    <w:rsid w:val="0076763C"/>
    <w:rsid w:val="0078284F"/>
    <w:rsid w:val="007A6F62"/>
    <w:rsid w:val="007C6D0D"/>
    <w:rsid w:val="007F04A9"/>
    <w:rsid w:val="00837566"/>
    <w:rsid w:val="00907331"/>
    <w:rsid w:val="00957D69"/>
    <w:rsid w:val="009B16AA"/>
    <w:rsid w:val="009B1BC6"/>
    <w:rsid w:val="009B1E13"/>
    <w:rsid w:val="009C4AA9"/>
    <w:rsid w:val="009D1ECA"/>
    <w:rsid w:val="00A27280"/>
    <w:rsid w:val="00A61218"/>
    <w:rsid w:val="00A82B05"/>
    <w:rsid w:val="00AD1B2F"/>
    <w:rsid w:val="00B30790"/>
    <w:rsid w:val="00B3284D"/>
    <w:rsid w:val="00B46334"/>
    <w:rsid w:val="00B63E78"/>
    <w:rsid w:val="00BC35E9"/>
    <w:rsid w:val="00BD6338"/>
    <w:rsid w:val="00BE7CF2"/>
    <w:rsid w:val="00C1302C"/>
    <w:rsid w:val="00C36A1F"/>
    <w:rsid w:val="00CA7839"/>
    <w:rsid w:val="00CD6A8A"/>
    <w:rsid w:val="00CF5953"/>
    <w:rsid w:val="00D14AFB"/>
    <w:rsid w:val="00D66AFD"/>
    <w:rsid w:val="00D71C7E"/>
    <w:rsid w:val="00DA2199"/>
    <w:rsid w:val="00DD547B"/>
    <w:rsid w:val="00DE3BE3"/>
    <w:rsid w:val="00DF16D9"/>
    <w:rsid w:val="00E0627B"/>
    <w:rsid w:val="00E24E14"/>
    <w:rsid w:val="00E51A9F"/>
    <w:rsid w:val="00F1589E"/>
    <w:rsid w:val="00F36D43"/>
    <w:rsid w:val="00FA68B7"/>
    <w:rsid w:val="00FB54F0"/>
    <w:rsid w:val="00FB59D1"/>
    <w:rsid w:val="00FE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7F51A08"/>
  <w15:docId w15:val="{C8FCEF82-8BFF-465F-A942-AFF1BB0B7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30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513" w:hanging="283"/>
      <w:jc w:val="both"/>
      <w:outlineLvl w:val="1"/>
    </w:pPr>
    <w:rPr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ind w:left="230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59"/>
      <w:ind w:left="15" w:right="14"/>
      <w:jc w:val="center"/>
    </w:pPr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14" w:hanging="28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80"/>
    </w:pPr>
  </w:style>
  <w:style w:type="paragraph" w:styleId="Cabealho">
    <w:name w:val="header"/>
    <w:basedOn w:val="Normal"/>
    <w:link w:val="CabealhoChar"/>
    <w:uiPriority w:val="99"/>
    <w:unhideWhenUsed/>
    <w:rsid w:val="00FB54F0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B54F0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FB54F0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FB54F0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glgiglio@usp.br" TargetMode="Externa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4604</Words>
  <Characters>24867</Characters>
  <Application>Microsoft Office Word</Application>
  <DocSecurity>0</DocSecurity>
  <Lines>207</Lines>
  <Paragraphs>58</Paragraphs>
  <ScaleCrop>false</ScaleCrop>
  <Company/>
  <LinksUpToDate>false</LinksUpToDate>
  <CharactersWithSpaces>29413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1067_tema_ii</dc:title>
  <dc:creator>Wanderley Pavão Junior</dc:creator>
  <cp:lastModifiedBy>Katia Bella</cp:lastModifiedBy>
  <cp:revision>86</cp:revision>
  <dcterms:created xsi:type="dcterms:W3CDTF">2025-03-14T21:41:00Z</dcterms:created>
  <dcterms:modified xsi:type="dcterms:W3CDTF">2025-03-19T15:07:00Z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2023-04-13T00:00:00Z</vt:filetime>
  </property>
  <property fmtid="{D5CDD505-2E9C-101B-9397-08002B2CF9AE}" pid="3" name="Creator">
    <vt:lpwstr>Word</vt:lpwstr>
  </property>
  <property fmtid="{D5CDD505-2E9C-101B-9397-08002B2CF9AE}" pid="4" name="LastSaved">
    <vt:filetime>2025-02-21T00:00:00Z</vt:filetime>
  </property>
  <property fmtid="{D5CDD505-2E9C-101B-9397-08002B2CF9AE}" pid="5" name="Producer">
    <vt:lpwstr>macOS Versão 13.2.1 (Compilação 22D68) Quartz PDFContext</vt:lpwstr>
  </property>
</Properties>
</file>